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wmf" ContentType="image/x-wmf"/>
  <Override PartName="/word/media/image3.wmf" ContentType="image/x-wmf"/>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9.png" ContentType="image/png"/>
  <Override PartName="/word/media/image10.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20.png" ContentType="image/png"/>
  <Override PartName="/word/media/image21.png" ContentType="image/png"/>
  <Override PartName="/word/media/image22.png" ContentType="image/png"/>
  <Override PartName="/word/media/image23.png" ContentType="image/png"/>
  <Override PartName="/word/media/image24.png" ContentType="image/png"/>
  <Override PartName="/word/media/image25.png" ContentType="image/png"/>
  <Override PartName="/word/media/image26.png" ContentType="image/png"/>
  <Override PartName="/word/media/image27.png" ContentType="image/png"/>
  <Override PartName="/word/media/image28.png" ContentType="image/png"/>
  <Override PartName="/word/media/image29.png" ContentType="image/png"/>
  <Override PartName="/word/footnotes.xml" ContentType="application/vnd.openxmlformats-officedocument.wordprocessingml.footnot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footnotes.xml.rels" ContentType="application/vnd.openxmlformats-package.relationships+xml"/>
  <Override PartName="/customXml/item1.xml" ContentType="application/xml"/>
  <Override PartName="/customXml/itemProps1.xml" ContentType="application/vnd.openxmlformats-officedocument.customXmlProperties+xml"/>
  <Override PartName="/customXml/item2.xml" ContentType="application/xml"/>
  <Override PartName="/customXml/_rels/item1.xml.rels" ContentType="application/vnd.openxmlformats-package.relationships+xml"/>
  <Override PartName="/customXml/_rels/item2.xml.rels" ContentType="application/vnd.openxmlformats-package.relationships+xml"/>
  <Override PartName="/customXml/itemProps2.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w:rPr/>
      </w:r>
    </w:p>
    <w:p>
      <w:pPr>
        <w:pStyle w:val="Normal"/>
        <w:rPr>
          <w:sz w:val="24"/>
        </w:rPr>
      </w:pPr>
      <w:r>
        <w:rPr>
          <w:sz w:val="24"/>
        </w:rPr>
        <mc:AlternateContent>
          <mc:Choice Requires="wps">
            <w:drawing>
              <wp:anchor behindDoc="0" distT="0" distB="0" distL="118745" distR="118745" simplePos="0" locked="0" layoutInCell="0" allowOverlap="1" relativeHeight="49">
                <wp:simplePos x="0" y="0"/>
                <wp:positionH relativeFrom="column">
                  <wp:posOffset>4445</wp:posOffset>
                </wp:positionH>
                <wp:positionV relativeFrom="paragraph">
                  <wp:posOffset>2373630</wp:posOffset>
                </wp:positionV>
                <wp:extent cx="5962015" cy="1894840"/>
                <wp:effectExtent l="0" t="0" r="0" b="0"/>
                <wp:wrapSquare wrapText="bothSides"/>
                <wp:docPr id="1" name="Frame1"/>
                <a:graphic xmlns:a="http://schemas.openxmlformats.org/drawingml/2006/main">
                  <a:graphicData uri="http://schemas.microsoft.com/office/word/2010/wordprocessingShape">
                    <wps:wsp>
                      <wps:cNvSpPr/>
                      <wps:spPr>
                        <a:xfrm>
                          <a:off x="0" y="0"/>
                          <a:ext cx="5961240" cy="1894320"/>
                        </a:xfrm>
                        <a:prstGeom prst="rect">
                          <a:avLst/>
                        </a:prstGeom>
                        <a:noFill/>
                        <a:ln w="0">
                          <a:noFill/>
                        </a:ln>
                      </wps:spPr>
                      <wps:style>
                        <a:lnRef idx="0"/>
                        <a:fillRef idx="0"/>
                        <a:effectRef idx="0"/>
                        <a:fontRef idx="minor"/>
                      </wps:style>
                      <wps:txbx>
                        <w:txbxContent>
                          <w:tbl>
                            <w:tblPr>
                              <w:tblW w:w="5000" w:type="pct"/>
                              <w:jc w:val="center"/>
                              <w:tblInd w:w="0" w:type="dxa"/>
                              <w:tblLayout w:type="fixed"/>
                              <w:tblCellMar>
                                <w:top w:w="216" w:type="dxa"/>
                                <w:left w:w="216" w:type="dxa"/>
                                <w:bottom w:w="216" w:type="dxa"/>
                                <w:right w:w="216" w:type="dxa"/>
                              </w:tblCellMar>
                              <w:tblLook w:firstRow="1" w:noVBand="1" w:lastRow="0" w:firstColumn="1" w:lastColumn="0" w:noHBand="0" w:val="04a0"/>
                            </w:tblPr>
                            <w:tblGrid>
                              <w:gridCol w:w="3372"/>
                              <w:gridCol w:w="1754"/>
                              <w:gridCol w:w="4262"/>
                            </w:tblGrid>
                            <w:tr>
                              <w:trPr>
                                <w:trHeight w:val="1584" w:hRule="atLeast"/>
                              </w:trPr>
                              <w:tc>
                                <w:tcPr>
                                  <w:tcW w:w="3372" w:type="dxa"/>
                                  <w:tcBorders>
                                    <w:bottom w:val="single" w:sz="18" w:space="0" w:color="808080"/>
                                    <w:right w:val="single" w:sz="18" w:space="0" w:color="808080"/>
                                  </w:tcBorders>
                                  <w:shd w:fill="auto" w:val="clear"/>
                                  <w:vAlign w:val="bottom"/>
                                </w:tcPr>
                                <w:sdt>
                                  <w:sdtPr>
                                    <w:docPartObj>
                                      <w:docPartGallery w:val="Cover Pages"/>
                                      <w:docPartUnique w:val="true"/>
                                    </w:docPartObj>
                                    <w:id w:val="1706756071"/>
                                  </w:sdtPr>
                                  <w:sdtContent>
                                    <w:p>
                                      <w:pPr>
                                        <w:pStyle w:val="Normal"/>
                                        <w:widowControl w:val="false"/>
                                        <w:spacing w:before="0" w:after="200"/>
                                        <w:jc w:val="right"/>
                                        <w:rPr/>
                                      </w:pPr>
                                      <w:bookmarkStart w:id="0" w:name="__UnoMark__543_17296386731"/>
                                      <w:bookmarkEnd w:id="0"/>
                                      <w:r>
                                        <w:rPr/>
                                        <w:fldChar w:fldCharType="begin"/>
                                      </w:r>
                                      <w:r>
                                        <w:rPr/>
                                        <w:instrText> TIME \@"d\ MMMM\ yyyy" </w:instrText>
                                      </w:r>
                                      <w:r>
                                        <w:rPr/>
                                        <w:fldChar w:fldCharType="separate"/>
                                      </w:r>
                                      <w:r>
                                        <w:rPr/>
                                        <w:t>7 December 2021</w:t>
                                      </w:r>
                                      <w:r>
                                        <w:rPr/>
                                        <w:fldChar w:fldCharType="end"/>
                                      </w:r>
                                    </w:p>
                                  </w:sdtContent>
                                </w:sdt>
                              </w:tc>
                              <w:tc>
                                <w:tcPr>
                                  <w:tcW w:w="6016" w:type="dxa"/>
                                  <w:gridSpan w:val="2"/>
                                  <w:tcBorders>
                                    <w:left w:val="single" w:sz="18" w:space="0" w:color="808080"/>
                                    <w:bottom w:val="single" w:sz="18" w:space="0" w:color="808080"/>
                                    <w:right w:val="single" w:sz="18" w:space="0" w:color="808080"/>
                                  </w:tcBorders>
                                  <w:shd w:fill="auto" w:val="clear"/>
                                  <w:tcMar>
                                    <w:left w:w="0" w:type="dxa"/>
                                  </w:tcMar>
                                  <w:vAlign w:val="center"/>
                                </w:tcPr>
                                <w:p>
                                  <w:pPr>
                                    <w:pStyle w:val="NoSpacing"/>
                                    <w:widowControl w:val="false"/>
                                    <w:rPr>
                                      <w:color w:val="auto"/>
                                    </w:rPr>
                                  </w:pPr>
                                  <w:bookmarkStart w:id="1" w:name="__UnoMark__544_17296386731"/>
                                  <w:bookmarkEnd w:id="1"/>
                                  <w:r>
                                    <w:rPr>
                                      <w:rFonts w:cs="Arial" w:ascii="Arial" w:hAnsi="Arial"/>
                                      <w:color w:val="auto"/>
                                      <w:sz w:val="100"/>
                                      <w:szCs w:val="100"/>
                                    </w:rPr>
                                    <w:t xml:space="preserve">3D-ICE </w:t>
                                  </w:r>
                                  <w:r>
                                    <w:rPr>
                                      <w:rFonts w:eastAsia="ＭＳ 明朝" w:cs="Arial" w:ascii="Arial" w:hAnsi="Arial"/>
                                      <w:color w:val="auto"/>
                                      <w:kern w:val="0"/>
                                      <w:sz w:val="72"/>
                                      <w:szCs w:val="100"/>
                                      <w:lang w:val="en-US" w:eastAsia="ja-JP" w:bidi="ar-SA"/>
                                    </w:rPr>
                                    <w:t>3</w:t>
                                  </w:r>
                                  <w:r>
                                    <w:rPr>
                                      <w:rFonts w:cs="Arial" w:ascii="Arial" w:hAnsi="Arial"/>
                                      <w:color w:val="auto"/>
                                      <w:sz w:val="72"/>
                                      <w:szCs w:val="100"/>
                                    </w:rPr>
                                    <w:t>.</w:t>
                                  </w:r>
                                  <w:r>
                                    <w:rPr>
                                      <w:rFonts w:eastAsia="" w:cs="Arial" w:ascii="Arial" w:hAnsi="Arial"/>
                                      <w:color w:val="auto"/>
                                      <w:kern w:val="0"/>
                                      <w:sz w:val="72"/>
                                      <w:szCs w:val="100"/>
                                      <w:lang w:val="en-US" w:eastAsia="ja-JP" w:bidi="ar-SA"/>
                                    </w:rPr>
                                    <w:t>1</w:t>
                                  </w:r>
                                  <w:r>
                                    <w:rPr>
                                      <w:rFonts w:cs="Arial" w:ascii="Arial" w:hAnsi="Arial"/>
                                      <w:color w:val="auto"/>
                                      <w:sz w:val="52"/>
                                      <w:szCs w:val="100"/>
                                    </w:rPr>
                                    <w:t>.</w:t>
                                  </w:r>
                                  <w:bookmarkStart w:id="2" w:name="__UnoMark__545_17296386731"/>
                                  <w:bookmarkEnd w:id="2"/>
                                  <w:r>
                                    <w:rPr>
                                      <w:rFonts w:cs="Arial" w:ascii="Arial" w:hAnsi="Arial"/>
                                      <w:color w:val="auto"/>
                                      <w:sz w:val="52"/>
                                      <w:szCs w:val="100"/>
                                    </w:rPr>
                                    <w:t>0</w:t>
                                  </w:r>
                                </w:p>
                              </w:tc>
                            </w:tr>
                            <w:tr>
                              <w:trPr/>
                              <w:tc>
                                <w:tcPr>
                                  <w:tcW w:w="5126" w:type="dxa"/>
                                  <w:gridSpan w:val="2"/>
                                  <w:tcBorders>
                                    <w:top w:val="single" w:sz="18" w:space="0" w:color="808080"/>
                                    <w:bottom w:val="single" w:sz="18" w:space="0" w:color="808080"/>
                                    <w:right w:val="single" w:sz="18" w:space="0" w:color="808080"/>
                                  </w:tcBorders>
                                  <w:shd w:fill="auto" w:val="clear"/>
                                  <w:vAlign w:val="center"/>
                                </w:tcPr>
                                <w:sdt>
                                  <w:sdtPr>
                                    <w:text/>
                                    <w:id w:val="1714755447"/>
                                    <w:dataBinding w:prefixMappings="xmlns:ns0='http://schemas.microsoft.com/office/2006/coverPageProps'" w:xpath="/ns0:CoverPageProperties[1]/ns0:Abstract[1]" w:storeItemID="{55AF091B-3C7A-41E3-B477-F2FDAA23CFDA}"/>
                                    <w:alias w:val="Abstract"/>
                                  </w:sdtPr>
                                  <w:sdtContent>
                                    <w:p>
                                      <w:pPr>
                                        <w:pStyle w:val="NoSpacing"/>
                                        <w:widowControl w:val="false"/>
                                        <w:rPr>
                                          <w:color w:val="auto"/>
                                        </w:rPr>
                                      </w:pPr>
                                      <w:bookmarkStart w:id="3" w:name="__UnoMark__546_17296386731"/>
                                      <w:bookmarkEnd w:id="3"/>
                                      <w:r>
                                        <w:rPr>
                                          <w:color w:val="auto"/>
                                          <w:sz w:val="16"/>
                                        </w:rPr>
                                        <w:t>This document provides a brief summary of the usage of 3D-ICE. This includes illustrative examples of generating the input stack and floorplan files, and the various functions used for printing the results.</w:t>
                                      </w:r>
                                    </w:p>
                                  </w:sdtContent>
                                </w:sdt>
                              </w:tc>
                              <w:tc>
                                <w:tcPr>
                                  <w:tcW w:w="4262" w:type="dxa"/>
                                  <w:tcBorders>
                                    <w:top w:val="single" w:sz="18" w:space="0" w:color="808080"/>
                                    <w:left w:val="single" w:sz="18" w:space="0" w:color="808080"/>
                                    <w:bottom w:val="single" w:sz="18" w:space="0" w:color="808080"/>
                                    <w:right w:val="single" w:sz="18" w:space="0" w:color="808080"/>
                                  </w:tcBorders>
                                  <w:shd w:fill="auto" w:val="clear"/>
                                  <w:tcMar>
                                    <w:left w:w="0" w:type="dxa"/>
                                  </w:tcMar>
                                  <w:vAlign w:val="center"/>
                                </w:tcPr>
                                <w:sdt>
                                  <w:sdtPr>
                                    <w:text/>
                                    <w:id w:val="704081442"/>
                                    <w:dataBinding w:prefixMappings="xmlns:ns0='http://schemas.openxmlformats.org/package/2006/metadata/core-properties' xmlns:ns1='http://purl.org/dc/elements/1.1/'" w:xpath="/ns0:coreProperties[1]/ns1:subject[1]" w:storeItemID="{6C3C8BC8-F283-45AE-878A-BAB7291924A1}"/>
                                    <w:alias w:val="Subtitle"/>
                                  </w:sdtPr>
                                  <w:sdtContent>
                                    <w:p>
                                      <w:pPr>
                                        <w:pStyle w:val="NoSpacing"/>
                                        <w:widowControl w:val="false"/>
                                        <w:rPr>
                                          <w:color w:val="auto"/>
                                        </w:rPr>
                                      </w:pPr>
                                      <w:bookmarkStart w:id="4" w:name="__UnoMark__548_17296386731"/>
                                      <w:bookmarkEnd w:id="4"/>
                                      <w:r>
                                        <w:rPr>
                                          <w:rFonts w:eastAsia="" w:cs="" w:ascii="Cambria" w:hAnsi="Cambria" w:asciiTheme="majorHAnsi" w:cstheme="majorBidi" w:eastAsiaTheme="majorEastAsia" w:hAnsiTheme="majorHAnsi"/>
                                          <w:b/>
                                          <w:color w:val="auto"/>
                                          <w:sz w:val="52"/>
                                          <w:szCs w:val="32"/>
                                        </w:rPr>
                                        <w:t>User Guide</w:t>
                                      </w:r>
                                    </w:p>
                                  </w:sdtContent>
                                </w:sdt>
                              </w:tc>
                            </w:tr>
                          </w:tbl>
                          <w:p>
                            <w:pPr>
                              <w:pStyle w:val="FrameContents"/>
                              <w:spacing w:before="0" w:after="200"/>
                              <w:rPr>
                                <w:color w:val="000000"/>
                              </w:rPr>
                            </w:pPr>
                            <w:r>
                              <w:rPr/>
                            </w:r>
                          </w:p>
                        </w:txbxContent>
                      </wps:txbx>
                      <wps:bodyPr lIns="0" rIns="0" tIns="0" bIns="0" anchor="t">
                        <a:spAutoFit/>
                      </wps:bodyPr>
                    </wps:wsp>
                  </a:graphicData>
                </a:graphic>
              </wp:anchor>
            </w:drawing>
          </mc:Choice>
          <mc:Fallback>
            <w:pict>
              <v:rect id="shape_0" ID="Frame1" path="m0,0l-2147483645,0l-2147483645,-2147483646l0,-2147483646xe" stroked="f" o:allowincell="f" style="position:absolute;margin-left:0.35pt;margin-top:186.9pt;width:469.35pt;height:149.1pt;mso-wrap-style:none;v-text-anchor:middle">
                <v:fill o:detectmouseclick="t" on="false"/>
                <v:stroke color="#3465a4" joinstyle="round" endcap="flat"/>
                <v:textbox>
                  <w:txbxContent>
                    <w:tbl>
                      <w:tblPr>
                        <w:tblW w:w="5000" w:type="pct"/>
                        <w:jc w:val="center"/>
                        <w:tblInd w:w="0" w:type="dxa"/>
                        <w:tblLayout w:type="fixed"/>
                        <w:tblCellMar>
                          <w:top w:w="216" w:type="dxa"/>
                          <w:left w:w="216" w:type="dxa"/>
                          <w:bottom w:w="216" w:type="dxa"/>
                          <w:right w:w="216" w:type="dxa"/>
                        </w:tblCellMar>
                        <w:tblLook w:firstRow="1" w:noVBand="1" w:lastRow="0" w:firstColumn="1" w:lastColumn="0" w:noHBand="0" w:val="04a0"/>
                      </w:tblPr>
                      <w:tblGrid>
                        <w:gridCol w:w="3372"/>
                        <w:gridCol w:w="1754"/>
                        <w:gridCol w:w="4262"/>
                      </w:tblGrid>
                      <w:tr>
                        <w:trPr>
                          <w:trHeight w:val="1584" w:hRule="atLeast"/>
                        </w:trPr>
                        <w:tc>
                          <w:tcPr>
                            <w:tcW w:w="3372" w:type="dxa"/>
                            <w:tcBorders>
                              <w:bottom w:val="single" w:sz="18" w:space="0" w:color="808080"/>
                              <w:right w:val="single" w:sz="18" w:space="0" w:color="808080"/>
                            </w:tcBorders>
                            <w:shd w:fill="auto" w:val="clear"/>
                            <w:vAlign w:val="bottom"/>
                          </w:tcPr>
                          <w:sdt>
                            <w:sdtPr>
                              <w:docPartObj>
                                <w:docPartGallery w:val="Cover Pages"/>
                                <w:docPartUnique w:val="true"/>
                              </w:docPartObj>
                              <w:id w:val="1062222006"/>
                            </w:sdtPr>
                            <w:sdtContent>
                              <w:p>
                                <w:pPr>
                                  <w:pStyle w:val="Normal"/>
                                  <w:widowControl w:val="false"/>
                                  <w:spacing w:before="0" w:after="200"/>
                                  <w:jc w:val="right"/>
                                  <w:rPr/>
                                </w:pPr>
                                <w:bookmarkStart w:id="5" w:name="__UnoMark__543_17296386731"/>
                                <w:bookmarkEnd w:id="5"/>
                                <w:r>
                                  <w:rPr/>
                                  <w:fldChar w:fldCharType="begin"/>
                                </w:r>
                                <w:r>
                                  <w:rPr/>
                                  <w:instrText> TIME \@"d\ MMMM\ yyyy" </w:instrText>
                                </w:r>
                                <w:r>
                                  <w:rPr/>
                                  <w:fldChar w:fldCharType="separate"/>
                                </w:r>
                                <w:r>
                                  <w:rPr/>
                                  <w:t>7 December 2021</w:t>
                                </w:r>
                                <w:r>
                                  <w:rPr/>
                                  <w:fldChar w:fldCharType="end"/>
                                </w:r>
                              </w:p>
                            </w:sdtContent>
                          </w:sdt>
                        </w:tc>
                        <w:tc>
                          <w:tcPr>
                            <w:tcW w:w="6016" w:type="dxa"/>
                            <w:gridSpan w:val="2"/>
                            <w:tcBorders>
                              <w:left w:val="single" w:sz="18" w:space="0" w:color="808080"/>
                              <w:bottom w:val="single" w:sz="18" w:space="0" w:color="808080"/>
                              <w:right w:val="single" w:sz="18" w:space="0" w:color="808080"/>
                            </w:tcBorders>
                            <w:shd w:fill="auto" w:val="clear"/>
                            <w:tcMar>
                              <w:left w:w="0" w:type="dxa"/>
                            </w:tcMar>
                            <w:vAlign w:val="center"/>
                          </w:tcPr>
                          <w:p>
                            <w:pPr>
                              <w:pStyle w:val="NoSpacing"/>
                              <w:widowControl w:val="false"/>
                              <w:rPr>
                                <w:color w:val="auto"/>
                              </w:rPr>
                            </w:pPr>
                            <w:bookmarkStart w:id="6" w:name="__UnoMark__544_17296386731"/>
                            <w:bookmarkEnd w:id="6"/>
                            <w:r>
                              <w:rPr>
                                <w:rFonts w:cs="Arial" w:ascii="Arial" w:hAnsi="Arial"/>
                                <w:color w:val="auto"/>
                                <w:sz w:val="100"/>
                                <w:szCs w:val="100"/>
                              </w:rPr>
                              <w:t xml:space="preserve">3D-ICE </w:t>
                            </w:r>
                            <w:r>
                              <w:rPr>
                                <w:rFonts w:eastAsia="ＭＳ 明朝" w:cs="Arial" w:ascii="Arial" w:hAnsi="Arial"/>
                                <w:color w:val="auto"/>
                                <w:kern w:val="0"/>
                                <w:sz w:val="72"/>
                                <w:szCs w:val="100"/>
                                <w:lang w:val="en-US" w:eastAsia="ja-JP" w:bidi="ar-SA"/>
                              </w:rPr>
                              <w:t>3</w:t>
                            </w:r>
                            <w:r>
                              <w:rPr>
                                <w:rFonts w:cs="Arial" w:ascii="Arial" w:hAnsi="Arial"/>
                                <w:color w:val="auto"/>
                                <w:sz w:val="72"/>
                                <w:szCs w:val="100"/>
                              </w:rPr>
                              <w:t>.</w:t>
                            </w:r>
                            <w:r>
                              <w:rPr>
                                <w:rFonts w:eastAsia="" w:cs="Arial" w:ascii="Arial" w:hAnsi="Arial"/>
                                <w:color w:val="auto"/>
                                <w:kern w:val="0"/>
                                <w:sz w:val="72"/>
                                <w:szCs w:val="100"/>
                                <w:lang w:val="en-US" w:eastAsia="ja-JP" w:bidi="ar-SA"/>
                              </w:rPr>
                              <w:t>1</w:t>
                            </w:r>
                            <w:r>
                              <w:rPr>
                                <w:rFonts w:cs="Arial" w:ascii="Arial" w:hAnsi="Arial"/>
                                <w:color w:val="auto"/>
                                <w:sz w:val="52"/>
                                <w:szCs w:val="100"/>
                              </w:rPr>
                              <w:t>.</w:t>
                            </w:r>
                            <w:bookmarkStart w:id="7" w:name="__UnoMark__545_17296386731"/>
                            <w:bookmarkEnd w:id="7"/>
                            <w:r>
                              <w:rPr>
                                <w:rFonts w:cs="Arial" w:ascii="Arial" w:hAnsi="Arial"/>
                                <w:color w:val="auto"/>
                                <w:sz w:val="52"/>
                                <w:szCs w:val="100"/>
                              </w:rPr>
                              <w:t>0</w:t>
                            </w:r>
                          </w:p>
                        </w:tc>
                      </w:tr>
                      <w:tr>
                        <w:trPr/>
                        <w:tc>
                          <w:tcPr>
                            <w:tcW w:w="5126" w:type="dxa"/>
                            <w:gridSpan w:val="2"/>
                            <w:tcBorders>
                              <w:top w:val="single" w:sz="18" w:space="0" w:color="808080"/>
                              <w:bottom w:val="single" w:sz="18" w:space="0" w:color="808080"/>
                              <w:right w:val="single" w:sz="18" w:space="0" w:color="808080"/>
                            </w:tcBorders>
                            <w:shd w:fill="auto" w:val="clear"/>
                            <w:vAlign w:val="center"/>
                          </w:tcPr>
                          <w:sdt>
                            <w:sdtPr>
                              <w:text/>
                              <w:id w:val="1088034647"/>
                              <w:dataBinding w:prefixMappings="xmlns:ns0='http://schemas.microsoft.com/office/2006/coverPageProps'" w:xpath="/ns0:CoverPageProperties[1]/ns0:Abstract[1]" w:storeItemID="{55AF091B-3C7A-41E3-B477-F2FDAA23CFDA}"/>
                              <w:alias w:val="Abstract"/>
                            </w:sdtPr>
                            <w:sdtContent>
                              <w:p>
                                <w:pPr>
                                  <w:pStyle w:val="NoSpacing"/>
                                  <w:widowControl w:val="false"/>
                                  <w:rPr>
                                    <w:color w:val="auto"/>
                                  </w:rPr>
                                </w:pPr>
                                <w:bookmarkStart w:id="8" w:name="__UnoMark__546_17296386731"/>
                                <w:bookmarkEnd w:id="8"/>
                                <w:r>
                                  <w:rPr>
                                    <w:color w:val="auto"/>
                                    <w:sz w:val="16"/>
                                  </w:rPr>
                                  <w:t>This document provides a brief summary of the usage of 3D-ICE. This includes illustrative examples of generating the input stack and floorplan files, and the various functions used for printing the results.</w:t>
                                </w:r>
                              </w:p>
                            </w:sdtContent>
                          </w:sdt>
                        </w:tc>
                        <w:tc>
                          <w:tcPr>
                            <w:tcW w:w="4262" w:type="dxa"/>
                            <w:tcBorders>
                              <w:top w:val="single" w:sz="18" w:space="0" w:color="808080"/>
                              <w:left w:val="single" w:sz="18" w:space="0" w:color="808080"/>
                              <w:bottom w:val="single" w:sz="18" w:space="0" w:color="808080"/>
                              <w:right w:val="single" w:sz="18" w:space="0" w:color="808080"/>
                            </w:tcBorders>
                            <w:shd w:fill="auto" w:val="clear"/>
                            <w:tcMar>
                              <w:left w:w="0" w:type="dxa"/>
                            </w:tcMar>
                            <w:vAlign w:val="center"/>
                          </w:tcPr>
                          <w:sdt>
                            <w:sdtPr>
                              <w:text/>
                              <w:id w:val="1995938304"/>
                              <w:dataBinding w:prefixMappings="xmlns:ns0='http://schemas.openxmlformats.org/package/2006/metadata/core-properties' xmlns:ns1='http://purl.org/dc/elements/1.1/'" w:xpath="/ns0:coreProperties[1]/ns1:subject[1]" w:storeItemID="{6C3C8BC8-F283-45AE-878A-BAB7291924A1}"/>
                              <w:alias w:val="Subtitle"/>
                            </w:sdtPr>
                            <w:sdtContent>
                              <w:p>
                                <w:pPr>
                                  <w:pStyle w:val="NoSpacing"/>
                                  <w:widowControl w:val="false"/>
                                  <w:rPr>
                                    <w:color w:val="auto"/>
                                  </w:rPr>
                                </w:pPr>
                                <w:bookmarkStart w:id="9" w:name="__UnoMark__548_17296386731"/>
                                <w:bookmarkEnd w:id="9"/>
                                <w:r>
                                  <w:rPr>
                                    <w:rFonts w:eastAsia="" w:cs="" w:ascii="Cambria" w:hAnsi="Cambria" w:asciiTheme="majorHAnsi" w:cstheme="majorBidi" w:eastAsiaTheme="majorEastAsia" w:hAnsiTheme="majorHAnsi"/>
                                    <w:b/>
                                    <w:color w:val="auto"/>
                                    <w:sz w:val="52"/>
                                    <w:szCs w:val="32"/>
                                  </w:rPr>
                                  <w:t>User Guide</w:t>
                                </w:r>
                              </w:p>
                            </w:sdtContent>
                          </w:sdt>
                        </w:tc>
                      </w:tr>
                    </w:tbl>
                    <w:p>
                      <w:pPr>
                        <w:pStyle w:val="FrameContents"/>
                        <w:spacing w:before="0" w:after="200"/>
                        <w:rPr>
                          <w:color w:val="000000"/>
                        </w:rPr>
                      </w:pPr>
                      <w:r>
                        <w:rPr/>
                      </w:r>
                    </w:p>
                  </w:txbxContent>
                </v:textbox>
                <w10:wrap type="square"/>
              </v:rect>
            </w:pict>
          </mc:Fallback>
        </mc:AlternateContent>
      </w:r>
      <w:r>
        <w:br w:type="page"/>
      </w:r>
    </w:p>
    <w:p>
      <w:pPr>
        <w:pStyle w:val="Normal"/>
        <w:rPr/>
      </w:pPr>
      <w:r>
        <w:rPr/>
      </w:r>
    </w:p>
    <w:sdt>
      <w:sdtPr>
        <w:docPartObj>
          <w:docPartGallery w:val="Table of Contents"/>
          <w:docPartUnique w:val="true"/>
        </w:docPartObj>
        <w:id w:val="1575076102"/>
      </w:sdtPr>
      <w:sdtContent>
        <w:p>
          <w:pPr>
            <w:pStyle w:val="ContentsHeading"/>
            <w:rPr/>
          </w:pPr>
          <w:r>
            <w:rPr/>
            <w:t>Table of Contents</w:t>
          </w:r>
        </w:p>
      </w:sdtContent>
    </w:sdt>
    <w:sdt>
      <w:sdtPr>
        <w:docPartObj>
          <w:docPartGallery w:val="Table of Contents"/>
          <w:docPartUnique w:val="true"/>
        </w:docPartObj>
        <w:id w:val="3180779"/>
      </w:sdtPr>
      <w:sdtContent>
        <w:p>
          <w:pPr>
            <w:pStyle w:val="Contents1"/>
            <w:tabs>
              <w:tab w:val="clear" w:pos="720"/>
              <w:tab w:val="right" w:pos="9360" w:leader="dot"/>
            </w:tabs>
            <w:rPr/>
          </w:pPr>
          <w:r>
            <w:fldChar w:fldCharType="begin"/>
          </w:r>
          <w:r>
            <w:rPr>
              <w:webHidden/>
              <w:rStyle w:val="IndexLink"/>
              <w:vanish w:val="false"/>
            </w:rPr>
            <w:instrText> TOC \z \o "1-3" \u \h</w:instrText>
          </w:r>
          <w:r>
            <w:rPr>
              <w:webHidden/>
              <w:rStyle w:val="IndexLink"/>
              <w:vanish w:val="false"/>
            </w:rPr>
            <w:fldChar w:fldCharType="separate"/>
          </w:r>
          <w:hyperlink w:anchor="__RefHeading___Toc2931_2393532176">
            <w:r>
              <w:rPr>
                <w:webHidden/>
                <w:rStyle w:val="IndexLink"/>
                <w:vanish w:val="false"/>
              </w:rPr>
              <w:t>1. License and Copyright</w:t>
              <w:tab/>
              <w:t>3</w:t>
            </w:r>
          </w:hyperlink>
        </w:p>
        <w:p>
          <w:pPr>
            <w:pStyle w:val="Contents1"/>
            <w:tabs>
              <w:tab w:val="clear" w:pos="720"/>
              <w:tab w:val="right" w:pos="9360" w:leader="dot"/>
            </w:tabs>
            <w:rPr/>
          </w:pPr>
          <w:hyperlink w:anchor="__RefHeading___Toc2933_2393532176">
            <w:r>
              <w:rPr>
                <w:webHidden/>
                <w:rStyle w:val="IndexLink"/>
                <w:vanish w:val="false"/>
              </w:rPr>
              <w:t>2. What is new in 3.x?</w:t>
              <w:tab/>
              <w:t>4</w:t>
            </w:r>
          </w:hyperlink>
        </w:p>
        <w:p>
          <w:pPr>
            <w:pStyle w:val="Contents1"/>
            <w:tabs>
              <w:tab w:val="clear" w:pos="720"/>
              <w:tab w:val="right" w:pos="9360" w:leader="dot"/>
            </w:tabs>
            <w:rPr/>
          </w:pPr>
          <w:hyperlink w:anchor="__RefHeading___Toc2935_2393532176">
            <w:r>
              <w:rPr>
                <w:webHidden/>
                <w:rStyle w:val="IndexLink"/>
                <w:vanish w:val="false"/>
              </w:rPr>
              <w:t>3. What is new in 2.x?</w:t>
              <w:tab/>
              <w:t>4</w:t>
            </w:r>
          </w:hyperlink>
        </w:p>
        <w:p>
          <w:pPr>
            <w:pStyle w:val="Contents1"/>
            <w:tabs>
              <w:tab w:val="clear" w:pos="720"/>
              <w:tab w:val="right" w:pos="9360" w:leader="dot"/>
            </w:tabs>
            <w:rPr/>
          </w:pPr>
          <w:hyperlink w:anchor="__RefHeading___Toc2937_2393532176">
            <w:r>
              <w:rPr>
                <w:webHidden/>
                <w:rStyle w:val="IndexLink"/>
                <w:vanish w:val="false"/>
              </w:rPr>
              <w:t>4. Who needs 3D-ICE?</w:t>
              <w:tab/>
              <w:t>6</w:t>
            </w:r>
          </w:hyperlink>
        </w:p>
        <w:p>
          <w:pPr>
            <w:pStyle w:val="Contents1"/>
            <w:tabs>
              <w:tab w:val="clear" w:pos="720"/>
              <w:tab w:val="right" w:pos="9360" w:leader="dot"/>
            </w:tabs>
            <w:rPr/>
          </w:pPr>
          <w:hyperlink w:anchor="__RefHeading___Toc2939_2393532176">
            <w:r>
              <w:rPr>
                <w:webHidden/>
                <w:rStyle w:val="IndexLink"/>
                <w:vanish w:val="false"/>
              </w:rPr>
              <w:t>5. Before you begin</w:t>
              <w:tab/>
              <w:t>7</w:t>
            </w:r>
          </w:hyperlink>
        </w:p>
        <w:p>
          <w:pPr>
            <w:pStyle w:val="Contents2"/>
            <w:tabs>
              <w:tab w:val="clear" w:pos="720"/>
              <w:tab w:val="right" w:pos="9360" w:leader="dot"/>
            </w:tabs>
            <w:rPr/>
          </w:pPr>
          <w:hyperlink w:anchor="__RefHeading___Toc2941_2393532176">
            <w:r>
              <w:rPr>
                <w:webHidden/>
                <w:rStyle w:val="IndexLink"/>
                <w:vanish w:val="false"/>
              </w:rPr>
              <w:t>A. Compile SuperLU</w:t>
              <w:tab/>
              <w:t>7</w:t>
            </w:r>
          </w:hyperlink>
        </w:p>
        <w:p>
          <w:pPr>
            <w:pStyle w:val="Contents2"/>
            <w:tabs>
              <w:tab w:val="clear" w:pos="720"/>
              <w:tab w:val="right" w:pos="9360" w:leader="dot"/>
            </w:tabs>
            <w:rPr/>
          </w:pPr>
          <w:hyperlink w:anchor="__RefHeading___Toc2943_2393532176">
            <w:r>
              <w:rPr>
                <w:webHidden/>
                <w:rStyle w:val="IndexLink"/>
                <w:vanish w:val="false"/>
              </w:rPr>
              <w:t>B. Compile 3D-ICE</w:t>
              <w:tab/>
              <w:t>7</w:t>
            </w:r>
          </w:hyperlink>
        </w:p>
        <w:p>
          <w:pPr>
            <w:pStyle w:val="Contents2"/>
            <w:tabs>
              <w:tab w:val="clear" w:pos="720"/>
              <w:tab w:val="right" w:pos="9360" w:leader="dot"/>
            </w:tabs>
            <w:rPr/>
          </w:pPr>
          <w:hyperlink w:anchor="__RefHeading___Toc2945_2393532176">
            <w:r>
              <w:rPr>
                <w:webHidden/>
                <w:rStyle w:val="IndexLink"/>
                <w:vanish w:val="false"/>
              </w:rPr>
              <w:t>C. Pluggable heat sink and co-simulation interface</w:t>
              <w:tab/>
              <w:t>8</w:t>
            </w:r>
          </w:hyperlink>
        </w:p>
        <w:p>
          <w:pPr>
            <w:pStyle w:val="Contents2"/>
            <w:tabs>
              <w:tab w:val="clear" w:pos="720"/>
              <w:tab w:val="right" w:pos="9360" w:leader="dot"/>
            </w:tabs>
            <w:rPr/>
          </w:pPr>
          <w:hyperlink w:anchor="__RefHeading___Toc2947_2393532176">
            <w:r>
              <w:rPr>
                <w:webHidden/>
                <w:rStyle w:val="IndexLink"/>
                <w:vanish w:val="false"/>
              </w:rPr>
              <w:t>D. Testing installation</w:t>
              <w:tab/>
              <w:t>8</w:t>
            </w:r>
          </w:hyperlink>
        </w:p>
        <w:p>
          <w:pPr>
            <w:pStyle w:val="Contents1"/>
            <w:tabs>
              <w:tab w:val="clear" w:pos="720"/>
              <w:tab w:val="right" w:pos="9360" w:leader="dot"/>
            </w:tabs>
            <w:rPr/>
          </w:pPr>
          <w:hyperlink w:anchor="__RefHeading___Toc2949_2393532176">
            <w:r>
              <w:rPr>
                <w:webHidden/>
                <w:rStyle w:val="IndexLink"/>
                <w:vanish w:val="false"/>
              </w:rPr>
              <w:t>6. Overview of 3D-ICE</w:t>
              <w:tab/>
              <w:t>9</w:t>
            </w:r>
          </w:hyperlink>
        </w:p>
        <w:p>
          <w:pPr>
            <w:pStyle w:val="Contents2"/>
            <w:tabs>
              <w:tab w:val="clear" w:pos="720"/>
              <w:tab w:val="right" w:pos="9360" w:leader="dot"/>
            </w:tabs>
            <w:rPr/>
          </w:pPr>
          <w:hyperlink w:anchor="__RefHeading___Toc2951_2393532176">
            <w:r>
              <w:rPr>
                <w:webHidden/>
                <w:rStyle w:val="IndexLink"/>
                <w:vanish w:val="false"/>
              </w:rPr>
              <w:t>A. Principle of thermal simulation</w:t>
              <w:tab/>
              <w:t>9</w:t>
            </w:r>
          </w:hyperlink>
        </w:p>
        <w:p>
          <w:pPr>
            <w:pStyle w:val="Contents3"/>
            <w:tabs>
              <w:tab w:val="clear" w:pos="720"/>
              <w:tab w:val="right" w:pos="9360" w:leader="dot"/>
            </w:tabs>
            <w:rPr/>
          </w:pPr>
          <w:hyperlink w:anchor="__RefHeading___Toc2953_2393532176">
            <w:r>
              <w:rPr>
                <w:webHidden/>
                <w:rStyle w:val="IndexLink"/>
                <w:vanish w:val="false"/>
              </w:rPr>
              <w:t>i. Microchannel 4-resistor model</w:t>
              <w:tab/>
              <w:t>9</w:t>
            </w:r>
          </w:hyperlink>
        </w:p>
        <w:p>
          <w:pPr>
            <w:pStyle w:val="Contents3"/>
            <w:tabs>
              <w:tab w:val="clear" w:pos="720"/>
              <w:tab w:val="right" w:pos="9360" w:leader="dot"/>
            </w:tabs>
            <w:rPr/>
          </w:pPr>
          <w:hyperlink w:anchor="__RefHeading___Toc2955_2393532176">
            <w:r>
              <w:rPr>
                <w:webHidden/>
                <w:rStyle w:val="IndexLink"/>
                <w:vanish w:val="false"/>
              </w:rPr>
              <w:t>ii. Microchannel 2-resistor model</w:t>
              <w:tab/>
              <w:t>10</w:t>
            </w:r>
          </w:hyperlink>
        </w:p>
        <w:p>
          <w:pPr>
            <w:pStyle w:val="Contents3"/>
            <w:tabs>
              <w:tab w:val="clear" w:pos="720"/>
              <w:tab w:val="right" w:pos="9360" w:leader="dot"/>
            </w:tabs>
            <w:rPr/>
          </w:pPr>
          <w:hyperlink w:anchor="__RefHeading___Toc2957_2393532176">
            <w:r>
              <w:rPr>
                <w:webHidden/>
                <w:rStyle w:val="IndexLink"/>
                <w:vanish w:val="false"/>
              </w:rPr>
              <w:t>iii. Pinfins in-line</w:t>
              <w:tab/>
              <w:t>10</w:t>
            </w:r>
          </w:hyperlink>
        </w:p>
        <w:p>
          <w:pPr>
            <w:pStyle w:val="Contents3"/>
            <w:tabs>
              <w:tab w:val="clear" w:pos="720"/>
              <w:tab w:val="right" w:pos="9360" w:leader="dot"/>
            </w:tabs>
            <w:rPr/>
          </w:pPr>
          <w:hyperlink w:anchor="__RefHeading___Toc2959_2393532176">
            <w:r>
              <w:rPr>
                <w:webHidden/>
                <w:rStyle w:val="IndexLink"/>
                <w:vanish w:val="false"/>
              </w:rPr>
              <w:t>iv. Pinfins staggered</w:t>
              <w:tab/>
              <w:t>11</w:t>
            </w:r>
          </w:hyperlink>
        </w:p>
        <w:p>
          <w:pPr>
            <w:pStyle w:val="Contents2"/>
            <w:tabs>
              <w:tab w:val="clear" w:pos="720"/>
              <w:tab w:val="right" w:pos="9360" w:leader="dot"/>
            </w:tabs>
            <w:rPr/>
          </w:pPr>
          <w:hyperlink w:anchor="__RefHeading___Toc2961_2393532176">
            <w:r>
              <w:rPr>
                <w:webHidden/>
                <w:rStyle w:val="IndexLink"/>
                <w:vanish w:val="false"/>
              </w:rPr>
              <w:t>B. Inputs to 3D-ICE</w:t>
              <w:tab/>
              <w:t>11</w:t>
            </w:r>
          </w:hyperlink>
        </w:p>
        <w:p>
          <w:pPr>
            <w:pStyle w:val="Contents2"/>
            <w:tabs>
              <w:tab w:val="clear" w:pos="720"/>
              <w:tab w:val="right" w:pos="9360" w:leader="dot"/>
            </w:tabs>
            <w:rPr/>
          </w:pPr>
          <w:hyperlink w:anchor="__RefHeading___Toc2963_2393532176">
            <w:r>
              <w:rPr>
                <w:webHidden/>
                <w:rStyle w:val="IndexLink"/>
                <w:vanish w:val="false"/>
              </w:rPr>
              <w:t>C. Convention and Terminology</w:t>
              <w:tab/>
              <w:t>12</w:t>
            </w:r>
          </w:hyperlink>
        </w:p>
        <w:p>
          <w:pPr>
            <w:pStyle w:val="Contents1"/>
            <w:tabs>
              <w:tab w:val="clear" w:pos="720"/>
              <w:tab w:val="right" w:pos="9360" w:leader="dot"/>
            </w:tabs>
            <w:rPr/>
          </w:pPr>
          <w:hyperlink w:anchor="__RefHeading___Toc2965_2393532176">
            <w:r>
              <w:rPr>
                <w:webHidden/>
                <w:rStyle w:val="IndexLink"/>
                <w:vanish w:val="false"/>
              </w:rPr>
              <w:t>7. Creating a 3D-ICE project</w:t>
              <w:tab/>
              <w:t>14</w:t>
            </w:r>
          </w:hyperlink>
        </w:p>
        <w:p>
          <w:pPr>
            <w:pStyle w:val="Contents2"/>
            <w:tabs>
              <w:tab w:val="clear" w:pos="720"/>
              <w:tab w:val="right" w:pos="9360" w:leader="dot"/>
            </w:tabs>
            <w:rPr/>
          </w:pPr>
          <w:hyperlink w:anchor="__RefHeading___Toc2967_2393532176">
            <w:r>
              <w:rPr>
                <w:webHidden/>
                <w:rStyle w:val="IndexLink"/>
                <w:vanish w:val="false"/>
              </w:rPr>
              <w:t>A. Stack Description File</w:t>
              <w:tab/>
              <w:t>14</w:t>
            </w:r>
          </w:hyperlink>
        </w:p>
        <w:p>
          <w:pPr>
            <w:pStyle w:val="Contents3"/>
            <w:tabs>
              <w:tab w:val="clear" w:pos="720"/>
              <w:tab w:val="right" w:pos="9360" w:leader="dot"/>
            </w:tabs>
            <w:rPr/>
          </w:pPr>
          <w:hyperlink w:anchor="__RefHeading___Toc2969_2393532176">
            <w:r>
              <w:rPr>
                <w:webHidden/>
                <w:rStyle w:val="IndexLink"/>
                <w:vanish w:val="false"/>
              </w:rPr>
              <w:t>i. Materials</w:t>
              <w:tab/>
              <w:t>14</w:t>
            </w:r>
          </w:hyperlink>
        </w:p>
        <w:p>
          <w:pPr>
            <w:pStyle w:val="Contents3"/>
            <w:tabs>
              <w:tab w:val="clear" w:pos="720"/>
              <w:tab w:val="right" w:pos="9360" w:leader="dot"/>
            </w:tabs>
            <w:rPr/>
          </w:pPr>
          <w:hyperlink w:anchor="__RefHeading___Toc2971_2393532176">
            <w:r>
              <w:rPr>
                <w:webHidden/>
                <w:rStyle w:val="IndexLink"/>
                <w:vanish w:val="false"/>
              </w:rPr>
              <w:t>ii. Layers</w:t>
              <w:tab/>
              <w:t>15</w:t>
            </w:r>
          </w:hyperlink>
        </w:p>
        <w:p>
          <w:pPr>
            <w:pStyle w:val="Contents3"/>
            <w:tabs>
              <w:tab w:val="clear" w:pos="720"/>
              <w:tab w:val="right" w:pos="9360" w:leader="dot"/>
            </w:tabs>
            <w:rPr/>
          </w:pPr>
          <w:hyperlink w:anchor="__RefHeading___Toc2973_2393532176">
            <w:r>
              <w:rPr>
                <w:webHidden/>
                <w:rStyle w:val="IndexLink"/>
                <w:vanish w:val="false"/>
              </w:rPr>
              <w:t>iii. Dies</w:t>
              <w:tab/>
              <w:t>15</w:t>
            </w:r>
          </w:hyperlink>
        </w:p>
        <w:p>
          <w:pPr>
            <w:pStyle w:val="Contents3"/>
            <w:tabs>
              <w:tab w:val="clear" w:pos="720"/>
              <w:tab w:val="right" w:pos="9360" w:leader="dot"/>
            </w:tabs>
            <w:rPr/>
          </w:pPr>
          <w:hyperlink w:anchor="__RefHeading___Toc2975_2393532176">
            <w:r>
              <w:rPr>
                <w:webHidden/>
                <w:rStyle w:val="IndexLink"/>
                <w:vanish w:val="false"/>
              </w:rPr>
              <w:t>iv. Heat Sink</w:t>
              <w:tab/>
              <w:t>16</w:t>
            </w:r>
          </w:hyperlink>
        </w:p>
        <w:p>
          <w:pPr>
            <w:pStyle w:val="Contents3"/>
            <w:tabs>
              <w:tab w:val="clear" w:pos="720"/>
              <w:tab w:val="right" w:pos="9360" w:leader="dot"/>
            </w:tabs>
            <w:rPr/>
          </w:pPr>
          <w:hyperlink w:anchor="__RefHeading___Toc2977_2393532176">
            <w:r>
              <w:rPr>
                <w:webHidden/>
                <w:rStyle w:val="IndexLink"/>
                <w:vanish w:val="false"/>
              </w:rPr>
              <w:t>v. Liquid-cooled cavity</w:t>
              <w:tab/>
              <w:t>18</w:t>
            </w:r>
          </w:hyperlink>
        </w:p>
        <w:p>
          <w:pPr>
            <w:pStyle w:val="Contents3"/>
            <w:tabs>
              <w:tab w:val="clear" w:pos="720"/>
              <w:tab w:val="right" w:pos="9360" w:leader="dot"/>
            </w:tabs>
            <w:rPr/>
          </w:pPr>
          <w:hyperlink w:anchor="__RefHeading___Toc2981_2393532176">
            <w:r>
              <w:rPr>
                <w:webHidden/>
                <w:rStyle w:val="IndexLink"/>
                <w:vanish w:val="false"/>
              </w:rPr>
              <w:t>vi. Dimensions</w:t>
              <w:tab/>
              <w:t>22</w:t>
            </w:r>
          </w:hyperlink>
        </w:p>
        <w:p>
          <w:pPr>
            <w:pStyle w:val="Contents3"/>
            <w:tabs>
              <w:tab w:val="clear" w:pos="720"/>
              <w:tab w:val="right" w:pos="9360" w:leader="dot"/>
            </w:tabs>
            <w:rPr/>
          </w:pPr>
          <w:hyperlink w:anchor="__RefHeading___Toc3088_2224355866">
            <w:r>
              <w:rPr>
                <w:webHidden/>
                <w:rStyle w:val="IndexLink"/>
                <w:vanish w:val="false"/>
              </w:rPr>
              <w:t>vii. Stack</w:t>
              <w:tab/>
              <w:t>24</w:t>
            </w:r>
          </w:hyperlink>
        </w:p>
        <w:p>
          <w:pPr>
            <w:pStyle w:val="Contents3"/>
            <w:tabs>
              <w:tab w:val="clear" w:pos="720"/>
              <w:tab w:val="right" w:pos="9360" w:leader="dot"/>
            </w:tabs>
            <w:rPr/>
          </w:pPr>
          <w:hyperlink w:anchor="__RefHeading___Toc2983_2393532176">
            <w:r>
              <w:rPr>
                <w:webHidden/>
                <w:rStyle w:val="IndexLink"/>
                <w:vanish w:val="false"/>
              </w:rPr>
              <w:t>viii. Analysis options</w:t>
              <w:tab/>
              <w:t>26</w:t>
            </w:r>
          </w:hyperlink>
        </w:p>
        <w:p>
          <w:pPr>
            <w:pStyle w:val="Contents3"/>
            <w:tabs>
              <w:tab w:val="clear" w:pos="720"/>
              <w:tab w:val="right" w:pos="9360" w:leader="dot"/>
            </w:tabs>
            <w:rPr/>
          </w:pPr>
          <w:hyperlink w:anchor="__RefHeading___Toc2985_2393532176">
            <w:r>
              <w:rPr>
                <w:webHidden/>
                <w:rStyle w:val="IndexLink"/>
                <w:vanish w:val="false"/>
              </w:rPr>
              <w:t>ix. Output Instructions</w:t>
              <w:tab/>
              <w:t>27</w:t>
            </w:r>
          </w:hyperlink>
        </w:p>
        <w:p>
          <w:pPr>
            <w:pStyle w:val="Contents2"/>
            <w:tabs>
              <w:tab w:val="clear" w:pos="720"/>
              <w:tab w:val="right" w:pos="9360" w:leader="dot"/>
            </w:tabs>
            <w:rPr/>
          </w:pPr>
          <w:hyperlink w:anchor="__RefHeading___Toc2987_2393532176">
            <w:r>
              <w:rPr>
                <w:webHidden/>
                <w:rStyle w:val="IndexLink"/>
                <w:vanish w:val="false"/>
              </w:rPr>
              <w:t>Examples</w:t>
              <w:tab/>
              <w:t>30</w:t>
            </w:r>
          </w:hyperlink>
        </w:p>
        <w:p>
          <w:pPr>
            <w:pStyle w:val="Contents2"/>
            <w:tabs>
              <w:tab w:val="clear" w:pos="720"/>
              <w:tab w:val="right" w:pos="9360" w:leader="dot"/>
            </w:tabs>
            <w:rPr/>
          </w:pPr>
          <w:hyperlink w:anchor="__RefHeading___Toc2989_2393532176">
            <w:r>
              <w:rPr>
                <w:webHidden/>
                <w:rStyle w:val="IndexLink"/>
                <w:vanish w:val="false"/>
              </w:rPr>
              <w:t>B. Floorplan File</w:t>
              <w:tab/>
              <w:t>32</w:t>
            </w:r>
          </w:hyperlink>
        </w:p>
        <w:p>
          <w:pPr>
            <w:pStyle w:val="Contents3"/>
            <w:tabs>
              <w:tab w:val="clear" w:pos="720"/>
              <w:tab w:val="right" w:pos="9360" w:leader="dot"/>
            </w:tabs>
            <w:rPr/>
          </w:pPr>
          <w:hyperlink w:anchor="__RefHeading___Toc2991_2393532176">
            <w:r>
              <w:rPr>
                <w:webHidden/>
                <w:rStyle w:val="IndexLink"/>
                <w:vanish w:val="false"/>
              </w:rPr>
              <w:t>Time Slots</w:t>
              <w:tab/>
              <w:t>35</w:t>
            </w:r>
          </w:hyperlink>
        </w:p>
        <w:p>
          <w:pPr>
            <w:pStyle w:val="Contents1"/>
            <w:tabs>
              <w:tab w:val="clear" w:pos="720"/>
              <w:tab w:val="right" w:pos="9360" w:leader="dot"/>
            </w:tabs>
            <w:rPr/>
          </w:pPr>
          <w:hyperlink w:anchor="__RefHeading___Toc2993_2393532176">
            <w:r>
              <w:rPr>
                <w:webHidden/>
                <w:rStyle w:val="IndexLink"/>
                <w:vanish w:val="false"/>
              </w:rPr>
              <w:t>8. Co-simulation and plugin interface</w:t>
              <w:tab/>
              <w:t>37</w:t>
            </w:r>
          </w:hyperlink>
        </w:p>
        <w:p>
          <w:pPr>
            <w:pStyle w:val="Contents1"/>
            <w:tabs>
              <w:tab w:val="clear" w:pos="720"/>
              <w:tab w:val="right" w:pos="9360" w:leader="dot"/>
            </w:tabs>
            <w:rPr/>
          </w:pPr>
          <w:hyperlink w:anchor="__RefHeading___Toc2995_2393532176">
            <w:r>
              <w:rPr>
                <w:webHidden/>
                <w:rStyle w:val="IndexLink"/>
                <w:vanish w:val="false"/>
              </w:rPr>
              <w:t>9. Network interface for remote simulations</w:t>
              <w:tab/>
              <w:t>42</w:t>
            </w:r>
          </w:hyperlink>
        </w:p>
        <w:p>
          <w:pPr>
            <w:pStyle w:val="Contents1"/>
            <w:tabs>
              <w:tab w:val="clear" w:pos="720"/>
              <w:tab w:val="right" w:pos="9360" w:leader="dot"/>
            </w:tabs>
            <w:rPr/>
          </w:pPr>
          <w:hyperlink w:anchor="__RefHeading___Toc2937_2842897094">
            <w:r>
              <w:rPr>
                <w:webHidden/>
                <w:rStyle w:val="IndexLink"/>
                <w:vanish w:val="false"/>
              </w:rPr>
              <w:t>10. Running 3D-ICE</w:t>
              <w:tab/>
              <w:t>43</w:t>
            </w:r>
          </w:hyperlink>
        </w:p>
        <w:p>
          <w:pPr>
            <w:pStyle w:val="Contents1"/>
            <w:tabs>
              <w:tab w:val="clear" w:pos="720"/>
              <w:tab w:val="right" w:pos="9360" w:leader="dot"/>
            </w:tabs>
            <w:rPr/>
          </w:pPr>
          <w:hyperlink w:anchor="__RefHeading___Toc2939_2842897094">
            <w:r>
              <w:rPr>
                <w:webHidden/>
                <w:rStyle w:val="IndexLink"/>
                <w:vanish w:val="false"/>
              </w:rPr>
              <w:t>11. Usage of the 3D-ICE as Software Thermal Library</w:t>
              <w:tab/>
              <w:t>44</w:t>
            </w:r>
          </w:hyperlink>
        </w:p>
        <w:p>
          <w:pPr>
            <w:pStyle w:val="Contents2"/>
            <w:tabs>
              <w:tab w:val="clear" w:pos="720"/>
              <w:tab w:val="right" w:pos="9360" w:leader="dot"/>
            </w:tabs>
            <w:rPr/>
          </w:pPr>
          <w:hyperlink w:anchor="__RefHeading___Toc3001_2393532176">
            <w:r>
              <w:rPr>
                <w:webHidden/>
                <w:rStyle w:val="IndexLink"/>
                <w:vanish w:val="false"/>
              </w:rPr>
              <w:t>A. StackDescription_t, Analysis_t and Output_t</w:t>
              <w:tab/>
              <w:t>45</w:t>
            </w:r>
          </w:hyperlink>
        </w:p>
        <w:p>
          <w:pPr>
            <w:pStyle w:val="Contents2"/>
            <w:tabs>
              <w:tab w:val="clear" w:pos="720"/>
              <w:tab w:val="right" w:pos="9360" w:leader="dot"/>
            </w:tabs>
            <w:rPr/>
          </w:pPr>
          <w:hyperlink w:anchor="__RefHeading___Toc3003_2393532176">
            <w:r>
              <w:rPr>
                <w:webHidden/>
                <w:rStyle w:val="IndexLink"/>
                <w:vanish w:val="false"/>
              </w:rPr>
              <w:t>B. ThermalData_t</w:t>
              <w:tab/>
              <w:t>46</w:t>
            </w:r>
          </w:hyperlink>
        </w:p>
        <w:p>
          <w:pPr>
            <w:pStyle w:val="Contents2"/>
            <w:tabs>
              <w:tab w:val="clear" w:pos="720"/>
              <w:tab w:val="right" w:pos="9360" w:leader="dot"/>
            </w:tabs>
            <w:rPr/>
          </w:pPr>
          <w:hyperlink w:anchor="__RefHeading___Toc3005_2393532176">
            <w:r>
              <w:rPr>
                <w:webHidden/>
                <w:rStyle w:val="IndexLink"/>
                <w:vanish w:val="false"/>
              </w:rPr>
              <w:t>C. Emulation and thermal output</w:t>
              <w:tab/>
              <w:t>46</w:t>
            </w:r>
          </w:hyperlink>
        </w:p>
        <w:p>
          <w:pPr>
            <w:pStyle w:val="Contents2"/>
            <w:tabs>
              <w:tab w:val="clear" w:pos="720"/>
              <w:tab w:val="right" w:pos="9360" w:leader="dot"/>
            </w:tabs>
            <w:rPr/>
          </w:pPr>
          <w:hyperlink w:anchor="__RefHeading___Toc3007_2393532176">
            <w:r>
              <w:rPr>
                <w:webHidden/>
                <w:rStyle w:val="IndexLink"/>
                <w:vanish w:val="false"/>
              </w:rPr>
              <w:t>D. Socket</w:t>
              <w:tab/>
              <w:t>47</w:t>
            </w:r>
          </w:hyperlink>
        </w:p>
        <w:p>
          <w:pPr>
            <w:pStyle w:val="Contents2"/>
            <w:tabs>
              <w:tab w:val="clear" w:pos="720"/>
              <w:tab w:val="right" w:pos="9360" w:leader="dot"/>
            </w:tabs>
            <w:rPr/>
          </w:pPr>
          <w:hyperlink w:anchor="__RefHeading___Toc3009_2393532176">
            <w:r>
              <w:rPr>
                <w:webHidden/>
                <w:rStyle w:val="IndexLink"/>
                <w:vanish w:val="false"/>
              </w:rPr>
              <w:t>E. NetworkMessage</w:t>
              <w:tab/>
              <w:t>48</w:t>
            </w:r>
          </w:hyperlink>
        </w:p>
        <w:p>
          <w:pPr>
            <w:pStyle w:val="Contents2"/>
            <w:tabs>
              <w:tab w:val="clear" w:pos="720"/>
              <w:tab w:val="right" w:pos="9360" w:leader="dot"/>
            </w:tabs>
            <w:rPr/>
          </w:pPr>
          <w:hyperlink w:anchor="__RefHeading___Toc3011_2393532176">
            <w:r>
              <w:rPr>
                <w:webHidden/>
                <w:rStyle w:val="IndexLink"/>
                <w:vanish w:val="false"/>
              </w:rPr>
              <w:t>F. Debugging of ThermalSimulation</w:t>
              <w:tab/>
              <w:t>49</w:t>
            </w:r>
          </w:hyperlink>
        </w:p>
        <w:p>
          <w:pPr>
            <w:pStyle w:val="Contents2"/>
            <w:tabs>
              <w:tab w:val="clear" w:pos="720"/>
              <w:tab w:val="right" w:pos="9360" w:leader="dot"/>
            </w:tabs>
            <w:rPr/>
          </w:pPr>
          <w:hyperlink w:anchor="__RefHeading___Toc3013_2393532176">
            <w:r>
              <w:rPr>
                <w:webHidden/>
                <w:rStyle w:val="IndexLink"/>
                <w:vanish w:val="false"/>
              </w:rPr>
              <w:t>G. Binding to SystemC/TLM2.0 Applications</w:t>
              <w:tab/>
              <w:t>50</w:t>
            </w:r>
          </w:hyperlink>
        </w:p>
        <w:p>
          <w:pPr>
            <w:pStyle w:val="Contents1"/>
            <w:tabs>
              <w:tab w:val="clear" w:pos="720"/>
              <w:tab w:val="right" w:pos="9360" w:leader="dot"/>
            </w:tabs>
            <w:rPr/>
          </w:pPr>
          <w:hyperlink w:anchor="__RefHeading___Toc3015_2393532176">
            <w:r>
              <w:rPr>
                <w:webHidden/>
                <w:rStyle w:val="IndexLink"/>
                <w:vanish w:val="false"/>
              </w:rPr>
              <w:t>12. References</w:t>
              <w:tab/>
              <w:t>51</w:t>
            </w:r>
          </w:hyperlink>
          <w:r>
            <w:rPr>
              <w:rStyle w:val="IndexLink"/>
              <w:vanish w:val="false"/>
            </w:rPr>
            <w:fldChar w:fldCharType="end"/>
          </w:r>
        </w:p>
      </w:sdtContent>
    </w:sdt>
    <w:p>
      <w:pPr>
        <w:pStyle w:val="Normal"/>
        <w:widowControl/>
        <w:bidi w:val="0"/>
        <w:spacing w:lineRule="auto" w:line="276" w:before="0" w:after="200"/>
        <w:jc w:val="left"/>
        <w:rPr>
          <w:rFonts w:ascii="Calibri" w:hAnsi="Calibri" w:eastAsia="Calibri" w:cs="" w:asciiTheme="minorHAnsi" w:cstheme="minorBidi" w:eastAsiaTheme="minorHAnsi" w:hAnsiTheme="minorHAnsi"/>
          <w:color w:val="00000A"/>
          <w:kern w:val="0"/>
          <w:sz w:val="22"/>
          <w:szCs w:val="22"/>
          <w:lang w:val="en-US" w:eastAsia="en-US" w:bidi="ar-SA"/>
        </w:rPr>
      </w:pPr>
      <w:r>
        <w:rPr>
          <w:rFonts w:eastAsia="Calibri" w:cs="" w:cstheme="minorBidi" w:eastAsiaTheme="minorHAnsi"/>
          <w:color w:val="00000A"/>
          <w:kern w:val="0"/>
          <w:sz w:val="22"/>
          <w:szCs w:val="22"/>
          <w:lang w:val="en-US" w:eastAsia="en-US" w:bidi="ar-SA"/>
        </w:rPr>
      </w:r>
    </w:p>
    <w:p>
      <w:pPr>
        <w:pStyle w:val="Normal"/>
        <w:rPr/>
      </w:pPr>
      <w:r>
        <w:rPr/>
      </w:r>
      <w:r>
        <w:br w:type="page"/>
      </w:r>
    </w:p>
    <w:p>
      <w:pPr>
        <w:pStyle w:val="Heading1"/>
        <w:numPr>
          <w:ilvl w:val="0"/>
          <w:numId w:val="2"/>
        </w:numPr>
        <w:rPr/>
      </w:pPr>
      <w:bookmarkStart w:id="10" w:name="__RefHeading___Toc2931_2393532176"/>
      <w:bookmarkStart w:id="11" w:name="_Toc442446429"/>
      <w:bookmarkEnd w:id="10"/>
      <w:bookmarkEnd w:id="11"/>
      <w:r>
        <w:rPr/>
        <w:t>License and Copyright</w:t>
      </w:r>
    </w:p>
    <w:p>
      <w:pPr>
        <w:pStyle w:val="Normal"/>
        <w:rPr/>
      </w:pPr>
      <w:r>
        <w:rPr/>
        <w:t>This file is part of 3D-ICE.</w:t>
      </w:r>
    </w:p>
    <w:p>
      <w:pPr>
        <w:pStyle w:val="Normal"/>
        <w:jc w:val="both"/>
        <w:rPr/>
      </w:pPr>
      <w:r>
        <w:rPr/>
        <w:t xml:space="preserve">3D-ICE is free software: you can redistribute it and/or modify it under the terms of the GNU General Public License as published by the Free Software Foundation, either version 3 of the License, or any later version.3D-ICE is distributed in the hope that it will be useful, but WITHOUT ANY WARRANTY; without even the implied warranty of MERCHANTABILITY or FITNESS FOR A PARTICULAR PURPOSE. See the GNU General Public License for more details. You should have received a copy of the GNU General Public License along with 3D-ICE. If not, see </w:t>
      </w:r>
      <w:hyperlink r:id="rId2">
        <w:r>
          <w:rPr>
            <w:rStyle w:val="InternetLink"/>
            <w:vanish/>
          </w:rPr>
          <w:t>http://www.gnu.org/licenses/</w:t>
        </w:r>
      </w:hyperlink>
      <w:r>
        <w:rPr/>
        <w:t>.</w:t>
      </w:r>
    </w:p>
    <w:p>
      <w:pPr>
        <w:pStyle w:val="Normal"/>
        <w:jc w:val="both"/>
        <w:rPr>
          <w:b/>
          <w:b/>
        </w:rPr>
      </w:pPr>
      <w:r>
        <w:rPr>
          <w:b/>
        </w:rPr>
        <w:t>Any usage of 3D-ICE for research, commercial or other purposes must be properly acknowledged in the resulting products or publications. Specifically, [1], [2] and [</w:t>
      </w:r>
      <w:r>
        <w:rPr>
          <w:b/>
        </w:rPr>
        <w:t>10</w:t>
      </w:r>
      <w:r>
        <w:rPr>
          <w:b/>
        </w:rPr>
        <w:t>] must be cited in these cases.</w:t>
      </w:r>
    </w:p>
    <w:p>
      <w:pPr>
        <w:pStyle w:val="Normal"/>
        <w:spacing w:before="0" w:after="80"/>
        <w:jc w:val="center"/>
        <w:rPr>
          <w:lang w:val="fr-CH"/>
        </w:rPr>
      </w:pPr>
      <w:r>
        <w:rPr/>
        <w:drawing>
          <wp:inline distT="0" distB="0" distL="0" distR="0">
            <wp:extent cx="1297940" cy="1069975"/>
            <wp:effectExtent l="0" t="0" r="0" b="0"/>
            <wp:docPr id="3" name="Pictur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
                    <pic:cNvPicPr>
                      <a:picLocks noChangeAspect="1" noChangeArrowheads="1"/>
                    </pic:cNvPicPr>
                  </pic:nvPicPr>
                  <pic:blipFill>
                    <a:blip r:embed="rId3"/>
                    <a:stretch>
                      <a:fillRect/>
                    </a:stretch>
                  </pic:blipFill>
                  <pic:spPr bwMode="auto">
                    <a:xfrm>
                      <a:off x="0" y="0"/>
                      <a:ext cx="1297940" cy="1069975"/>
                    </a:xfrm>
                    <a:prstGeom prst="rect">
                      <a:avLst/>
                    </a:prstGeom>
                  </pic:spPr>
                </pic:pic>
              </a:graphicData>
            </a:graphic>
          </wp:inline>
        </w:drawing>
      </w:r>
    </w:p>
    <w:p>
      <w:pPr>
        <w:pStyle w:val="Normal"/>
        <w:spacing w:before="0" w:after="80"/>
        <w:jc w:val="center"/>
        <w:rPr>
          <w:lang w:val="fr-CH"/>
        </w:rPr>
      </w:pPr>
      <w:r>
        <w:rPr>
          <w:lang w:val="fr-CH"/>
        </w:rPr>
        <w:t>Copyright©2021,</w:t>
      </w:r>
    </w:p>
    <w:p>
      <w:pPr>
        <w:pStyle w:val="Normal"/>
        <w:spacing w:before="0" w:after="80"/>
        <w:jc w:val="center"/>
        <w:rPr>
          <w:lang w:val="fr-CH"/>
        </w:rPr>
      </w:pPr>
      <w:r>
        <w:rPr>
          <w:lang w:val="fr-CH"/>
        </w:rPr>
        <w:t>Embedded Systems Laboratory -École Polytechnique Fédérale de Lausanne,</w:t>
      </w:r>
    </w:p>
    <w:p>
      <w:pPr>
        <w:pStyle w:val="Normal"/>
        <w:spacing w:before="0" w:after="80"/>
        <w:jc w:val="center"/>
        <w:rPr/>
      </w:pPr>
      <w:r>
        <w:rPr/>
        <w:t>All Rights Reserved.</w:t>
      </w:r>
    </w:p>
    <w:tbl>
      <w:tblPr>
        <w:tblStyle w:val="Tabellenraster"/>
        <w:tblW w:w="9576" w:type="dxa"/>
        <w:jc w:val="left"/>
        <w:tblInd w:w="0" w:type="dxa"/>
        <w:tblLayout w:type="fixed"/>
        <w:tblCellMar>
          <w:top w:w="0" w:type="dxa"/>
          <w:left w:w="158" w:type="dxa"/>
          <w:bottom w:w="0" w:type="dxa"/>
          <w:right w:w="108" w:type="dxa"/>
        </w:tblCellMar>
        <w:tblLook w:firstRow="1" w:noVBand="1" w:lastRow="0" w:firstColumn="1" w:lastColumn="0" w:noHBand="0" w:val="04a0"/>
      </w:tblPr>
      <w:tblGrid>
        <w:gridCol w:w="4788"/>
        <w:gridCol w:w="1835"/>
        <w:gridCol w:w="2953"/>
      </w:tblGrid>
      <w:tr>
        <w:trPr>
          <w:trHeight w:val="2459" w:hRule="atLeast"/>
        </w:trPr>
        <w:tc>
          <w:tcPr>
            <w:tcW w:w="4788" w:type="dxa"/>
            <w:tcBorders>
              <w:top w:val="nil"/>
              <w:left w:val="nil"/>
              <w:bottom w:val="nil"/>
              <w:right w:val="nil"/>
            </w:tcBorders>
            <w:shd w:fill="auto" w:val="clear"/>
          </w:tcPr>
          <w:p>
            <w:pPr>
              <w:pStyle w:val="Normal"/>
              <w:widowControl w:val="false"/>
              <w:spacing w:lineRule="auto" w:line="240" w:before="0" w:after="0"/>
              <w:jc w:val="left"/>
              <w:rPr>
                <w:b/>
                <w:b/>
                <w:lang w:val="it-IT"/>
              </w:rPr>
            </w:pPr>
            <w:r>
              <w:rPr>
                <w:b/>
                <w:sz w:val="20"/>
                <w:lang w:val="it-IT"/>
              </w:rPr>
              <w:t>Authors:</w:t>
            </w:r>
          </w:p>
          <w:p>
            <w:pPr>
              <w:pStyle w:val="Normal"/>
              <w:widowControl w:val="false"/>
              <w:spacing w:lineRule="auto" w:line="240" w:before="0" w:after="0"/>
              <w:ind w:left="1440" w:hanging="0"/>
              <w:jc w:val="left"/>
              <w:rPr>
                <w:sz w:val="18"/>
                <w:szCs w:val="18"/>
              </w:rPr>
            </w:pPr>
            <w:r>
              <w:rPr>
                <w:i/>
                <w:sz w:val="18"/>
                <w:szCs w:val="18"/>
                <w:lang w:val="it-IT"/>
              </w:rPr>
              <w:t>Arvind Sridhar</w:t>
            </w:r>
            <w:bookmarkStart w:id="12" w:name="_Ref272855554"/>
            <w:bookmarkEnd w:id="12"/>
            <w:r>
              <w:rPr>
                <w:rStyle w:val="FootnoteAnchor"/>
                <w:i/>
                <w:sz w:val="18"/>
                <w:szCs w:val="18"/>
                <w:lang w:val="it-IT"/>
              </w:rPr>
              <w:footnoteReference w:id="2"/>
            </w:r>
          </w:p>
          <w:p>
            <w:pPr>
              <w:pStyle w:val="Normal"/>
              <w:widowControl w:val="false"/>
              <w:spacing w:lineRule="auto" w:line="240" w:before="0" w:after="0"/>
              <w:ind w:left="1440" w:hanging="0"/>
              <w:jc w:val="left"/>
              <w:rPr>
                <w:sz w:val="18"/>
                <w:szCs w:val="18"/>
              </w:rPr>
            </w:pPr>
            <w:r>
              <w:rPr>
                <w:i/>
                <w:sz w:val="18"/>
                <w:szCs w:val="18"/>
                <w:lang w:val="it-IT"/>
              </w:rPr>
              <w:t>Alessandro Vincenzi</w:t>
            </w:r>
            <w:r>
              <w:rPr>
                <w:i/>
                <w:sz w:val="18"/>
                <w:szCs w:val="18"/>
                <w:vertAlign w:val="superscript"/>
                <w:lang w:val="it-IT"/>
              </w:rPr>
              <w:t>1</w:t>
            </w:r>
            <w:r>
              <w:fldChar w:fldCharType="begin"/>
            </w:r>
            <w:r>
              <w:rPr>
                <w:sz w:val="18"/>
                <w:i/>
                <w:szCs w:val="18"/>
                <w:lang w:val="it-IT"/>
              </w:rPr>
              <w:instrText>NOTEREF _Ref272855554 \h  \* MERGEFORMAT</w:instrText>
            </w:r>
            <w:r>
              <w:rPr>
                <w:i/>
                <w:sz w:val="18"/>
                <w:szCs w:val="18"/>
                <w:lang w:val="it-IT"/>
              </w:rPr>
            </w:r>
            <w:r>
              <w:rPr>
                <w:sz w:val="18"/>
                <w:i/>
                <w:szCs w:val="18"/>
                <w:lang w:val="it-IT"/>
              </w:rPr>
              <w:fldChar w:fldCharType="separate"/>
            </w:r>
            <w:r>
              <w:rPr>
                <w:i/>
                <w:sz w:val="18"/>
                <w:szCs w:val="18"/>
                <w:lang w:val="it-IT"/>
              </w:rPr>
            </w:r>
            <w:bookmarkStart w:id="13" w:name="__Fieldmark__794_3229276388"/>
            <w:bookmarkStart w:id="14" w:name="__Fieldmark__550_1512499319"/>
            <w:r>
              <w:rPr>
                <w:i/>
                <w:sz w:val="18"/>
                <w:szCs w:val="18"/>
                <w:lang w:val="it-IT"/>
              </w:rPr>
            </w:r>
            <w:r>
              <w:rPr>
                <w:sz w:val="18"/>
                <w:i/>
                <w:szCs w:val="18"/>
                <w:lang w:val="it-IT"/>
              </w:rPr>
              <w:fldChar w:fldCharType="end"/>
            </w:r>
            <w:bookmarkStart w:id="15" w:name="__Fieldmark__546_1448524884"/>
            <w:bookmarkStart w:id="16" w:name="__Fieldmark__538_4214130128"/>
            <w:bookmarkStart w:id="17" w:name="__Fieldmark__540_2287972815"/>
            <w:bookmarkStart w:id="18" w:name="__Fieldmark__536_2590191016"/>
            <w:bookmarkStart w:id="19" w:name="__Fieldmark__557_1729638673"/>
            <w:bookmarkStart w:id="20" w:name="__Fieldmark__542_2565834834"/>
            <w:bookmarkStart w:id="21" w:name="__Fieldmark__538_1339933418"/>
            <w:bookmarkStart w:id="22" w:name="__Fieldmark__544_2347309188"/>
            <w:bookmarkStart w:id="23" w:name="__Fieldmark__548_3255371111"/>
            <w:bookmarkEnd w:id="13"/>
            <w:bookmarkEnd w:id="14"/>
            <w:bookmarkEnd w:id="15"/>
            <w:bookmarkEnd w:id="16"/>
            <w:bookmarkEnd w:id="17"/>
            <w:bookmarkEnd w:id="18"/>
            <w:bookmarkEnd w:id="19"/>
            <w:bookmarkEnd w:id="20"/>
            <w:bookmarkEnd w:id="21"/>
            <w:bookmarkEnd w:id="22"/>
            <w:bookmarkEnd w:id="23"/>
          </w:p>
          <w:p>
            <w:pPr>
              <w:pStyle w:val="Normal"/>
              <w:widowControl w:val="false"/>
              <w:spacing w:lineRule="auto" w:line="240" w:before="0" w:after="0"/>
              <w:ind w:left="1440" w:hanging="0"/>
              <w:jc w:val="left"/>
              <w:rPr>
                <w:i/>
                <w:i/>
                <w:sz w:val="18"/>
                <w:szCs w:val="18"/>
                <w:lang w:val="it-IT"/>
              </w:rPr>
            </w:pPr>
            <w:r>
              <w:rPr>
                <w:i/>
                <w:sz w:val="18"/>
                <w:szCs w:val="18"/>
                <w:lang w:val="it-IT"/>
              </w:rPr>
              <w:t>Giseong Bak</w:t>
            </w:r>
            <w:r>
              <w:rPr>
                <w:i/>
                <w:sz w:val="18"/>
                <w:szCs w:val="18"/>
                <w:vertAlign w:val="superscript"/>
                <w:lang w:val="it-IT"/>
              </w:rPr>
              <w:t>1</w:t>
            </w:r>
          </w:p>
          <w:p>
            <w:pPr>
              <w:pStyle w:val="Normal"/>
              <w:widowControl w:val="false"/>
              <w:spacing w:lineRule="auto" w:line="240" w:before="0" w:after="0"/>
              <w:ind w:left="1440" w:hanging="0"/>
              <w:jc w:val="left"/>
              <w:rPr>
                <w:sz w:val="18"/>
                <w:szCs w:val="18"/>
              </w:rPr>
            </w:pPr>
            <w:r>
              <w:rPr>
                <w:i/>
                <w:sz w:val="18"/>
                <w:szCs w:val="18"/>
                <w:lang w:val="it-IT"/>
              </w:rPr>
              <w:t>Martino Ruggiero</w:t>
            </w:r>
            <w:r>
              <w:rPr>
                <w:i/>
                <w:sz w:val="18"/>
                <w:szCs w:val="18"/>
                <w:vertAlign w:val="superscript"/>
                <w:lang w:val="it-IT"/>
              </w:rPr>
              <w:t>1</w:t>
            </w:r>
            <w:r>
              <w:fldChar w:fldCharType="begin"/>
            </w:r>
            <w:r>
              <w:rPr>
                <w:sz w:val="18"/>
                <w:i/>
                <w:szCs w:val="18"/>
                <w:lang w:val="it-IT"/>
              </w:rPr>
              <w:instrText>NOTEREF _Ref272855554 \h  \* MERGEFORMAT</w:instrText>
            </w:r>
            <w:r>
              <w:rPr>
                <w:i/>
                <w:sz w:val="18"/>
                <w:szCs w:val="18"/>
                <w:lang w:val="it-IT"/>
              </w:rPr>
            </w:r>
            <w:r>
              <w:rPr>
                <w:sz w:val="18"/>
                <w:i/>
                <w:szCs w:val="18"/>
                <w:lang w:val="it-IT"/>
              </w:rPr>
              <w:fldChar w:fldCharType="separate"/>
            </w:r>
            <w:r>
              <w:rPr>
                <w:i/>
                <w:sz w:val="18"/>
                <w:szCs w:val="18"/>
                <w:lang w:val="it-IT"/>
              </w:rPr>
            </w:r>
            <w:bookmarkStart w:id="24" w:name="__Fieldmark__830_3229276388"/>
            <w:bookmarkStart w:id="25" w:name="__Fieldmark__583_1512499319"/>
            <w:r>
              <w:rPr>
                <w:i/>
                <w:sz w:val="18"/>
                <w:szCs w:val="18"/>
                <w:lang w:val="it-IT"/>
              </w:rPr>
            </w:r>
            <w:r>
              <w:rPr>
                <w:sz w:val="18"/>
                <w:i/>
                <w:szCs w:val="18"/>
                <w:lang w:val="it-IT"/>
              </w:rPr>
              <w:fldChar w:fldCharType="end"/>
            </w:r>
            <w:bookmarkStart w:id="26" w:name="__Fieldmark__568_2347309188"/>
            <w:bookmarkStart w:id="27" w:name="__Fieldmark__548_2590191016"/>
            <w:bookmarkStart w:id="28" w:name="__Fieldmark__565_1729638673"/>
            <w:bookmarkStart w:id="29" w:name="__Fieldmark__553_4214130128"/>
            <w:bookmarkStart w:id="30" w:name="__Fieldmark__563_2565834834"/>
            <w:bookmarkStart w:id="31" w:name="__Fieldmark__573_1448524884"/>
            <w:bookmarkStart w:id="32" w:name="__Fieldmark__558_2287972815"/>
            <w:bookmarkStart w:id="33" w:name="__Fieldmark__548_1339933418"/>
            <w:bookmarkStart w:id="34" w:name="__Fieldmark__578_3255371111"/>
            <w:bookmarkEnd w:id="24"/>
            <w:bookmarkEnd w:id="25"/>
            <w:bookmarkEnd w:id="26"/>
            <w:bookmarkEnd w:id="27"/>
            <w:bookmarkEnd w:id="28"/>
            <w:bookmarkEnd w:id="29"/>
            <w:bookmarkEnd w:id="30"/>
            <w:bookmarkEnd w:id="31"/>
            <w:bookmarkEnd w:id="32"/>
            <w:bookmarkEnd w:id="33"/>
            <w:bookmarkEnd w:id="34"/>
          </w:p>
          <w:p>
            <w:pPr>
              <w:pStyle w:val="Normal"/>
              <w:widowControl w:val="false"/>
              <w:spacing w:lineRule="auto" w:line="240" w:before="0" w:after="0"/>
              <w:ind w:left="1440" w:hanging="0"/>
              <w:jc w:val="left"/>
              <w:rPr>
                <w:i/>
                <w:i/>
                <w:sz w:val="18"/>
                <w:szCs w:val="18"/>
                <w:lang w:val="it-IT"/>
              </w:rPr>
            </w:pPr>
            <w:r>
              <w:rPr>
                <w:i/>
                <w:sz w:val="18"/>
                <w:szCs w:val="18"/>
                <w:lang w:val="it-IT"/>
              </w:rPr>
              <w:t>Thomas Brunschwiler</w:t>
            </w:r>
            <w:r>
              <w:rPr>
                <w:rStyle w:val="FootnoteAnchor"/>
                <w:i/>
                <w:sz w:val="18"/>
                <w:szCs w:val="18"/>
                <w:lang w:val="it-IT"/>
              </w:rPr>
              <w:footnoteReference w:id="3"/>
            </w:r>
          </w:p>
          <w:p>
            <w:pPr>
              <w:pStyle w:val="Normal"/>
              <w:widowControl w:val="false"/>
              <w:spacing w:lineRule="auto" w:line="240" w:before="0" w:after="0"/>
              <w:ind w:left="1440" w:hanging="0"/>
              <w:jc w:val="left"/>
              <w:rPr>
                <w:i/>
                <w:i/>
                <w:sz w:val="18"/>
                <w:szCs w:val="18"/>
                <w:lang w:val="it-IT"/>
              </w:rPr>
            </w:pPr>
            <w:r>
              <w:rPr>
                <w:i/>
                <w:sz w:val="18"/>
                <w:szCs w:val="18"/>
                <w:lang w:val="it-IT"/>
              </w:rPr>
              <w:t>Matthias Jung</w:t>
            </w:r>
            <w:bookmarkStart w:id="35" w:name="__DdeLink__4130_1729638673"/>
            <w:bookmarkEnd w:id="35"/>
            <w:r>
              <w:rPr>
                <w:rStyle w:val="FootnoteAnchor"/>
                <w:i/>
                <w:sz w:val="18"/>
                <w:szCs w:val="18"/>
                <w:lang w:val="it-IT"/>
              </w:rPr>
              <w:footnoteReference w:id="4"/>
            </w:r>
          </w:p>
          <w:p>
            <w:pPr>
              <w:pStyle w:val="Normal"/>
              <w:widowControl w:val="false"/>
              <w:spacing w:lineRule="auto" w:line="240" w:before="0" w:after="0"/>
              <w:ind w:left="1440" w:hanging="0"/>
              <w:jc w:val="left"/>
              <w:rPr>
                <w:sz w:val="18"/>
                <w:szCs w:val="18"/>
              </w:rPr>
            </w:pPr>
            <w:r>
              <w:rPr>
                <w:i/>
                <w:sz w:val="18"/>
                <w:szCs w:val="18"/>
                <w:lang w:val="it-IT"/>
              </w:rPr>
              <w:t>Éder Zulian</w:t>
            </w:r>
            <w:r>
              <w:rPr>
                <w:rFonts w:eastAsia="Cambria" w:cs="Cambria" w:ascii="Cambria" w:hAnsi="Cambria"/>
                <w:i/>
                <w:sz w:val="18"/>
                <w:szCs w:val="18"/>
                <w:vertAlign w:val="superscript"/>
                <w:lang w:val="de-DE"/>
              </w:rPr>
              <w:t>3</w:t>
            </w:r>
          </w:p>
          <w:p>
            <w:pPr>
              <w:pStyle w:val="Normal"/>
              <w:widowControl w:val="false"/>
              <w:spacing w:lineRule="auto" w:line="240" w:before="0" w:after="0"/>
              <w:ind w:left="1440" w:hanging="0"/>
              <w:jc w:val="left"/>
              <w:rPr>
                <w:sz w:val="18"/>
                <w:szCs w:val="18"/>
              </w:rPr>
            </w:pPr>
            <w:r>
              <w:rPr>
                <w:rFonts w:eastAsia="Cambria" w:cs="Cambria"/>
                <w:i/>
                <w:position w:val="0"/>
                <w:sz w:val="18"/>
                <w:sz w:val="18"/>
                <w:szCs w:val="18"/>
                <w:vertAlign w:val="baseline"/>
                <w:lang w:val="de-DE"/>
              </w:rPr>
              <w:t>Federico Terraneo</w:t>
            </w:r>
            <w:r>
              <w:rPr>
                <w:rStyle w:val="FootnoteAnchor"/>
                <w:rFonts w:eastAsia="Cambria" w:cs="Cambria"/>
                <w:i/>
                <w:position w:val="0"/>
                <w:sz w:val="18"/>
                <w:sz w:val="18"/>
                <w:szCs w:val="18"/>
                <w:vertAlign w:val="baseline"/>
                <w:lang w:val="de-DE"/>
              </w:rPr>
              <w:footnoteReference w:id="5"/>
            </w:r>
          </w:p>
          <w:p>
            <w:pPr>
              <w:pStyle w:val="Normal"/>
              <w:widowControl w:val="false"/>
              <w:spacing w:lineRule="auto" w:line="240" w:before="0" w:after="0"/>
              <w:ind w:left="1440" w:hanging="0"/>
              <w:jc w:val="left"/>
              <w:rPr>
                <w:sz w:val="18"/>
                <w:szCs w:val="18"/>
              </w:rPr>
            </w:pPr>
            <w:r>
              <w:rPr>
                <w:rFonts w:eastAsia="Cambria" w:cs="Cambria"/>
                <w:i/>
                <w:position w:val="0"/>
                <w:sz w:val="18"/>
                <w:sz w:val="18"/>
                <w:szCs w:val="18"/>
                <w:vertAlign w:val="baseline"/>
                <w:lang w:val="de-DE"/>
              </w:rPr>
              <w:t>Darong Huang</w:t>
            </w:r>
            <w:r>
              <w:rPr>
                <w:rFonts w:eastAsia="Cambria" w:cs="Cambria"/>
                <w:i/>
                <w:sz w:val="18"/>
                <w:szCs w:val="18"/>
                <w:vertAlign w:val="superscript"/>
                <w:lang w:val="it-IT"/>
              </w:rPr>
              <w:t>1</w:t>
            </w:r>
          </w:p>
          <w:p>
            <w:pPr>
              <w:pStyle w:val="Normal"/>
              <w:widowControl w:val="false"/>
              <w:spacing w:lineRule="auto" w:line="240" w:before="0" w:after="0"/>
              <w:ind w:left="1440" w:hanging="0"/>
              <w:jc w:val="left"/>
              <w:rPr>
                <w:sz w:val="18"/>
                <w:szCs w:val="18"/>
              </w:rPr>
            </w:pPr>
            <w:r>
              <w:rPr>
                <w:rFonts w:eastAsia="Cambria" w:cs="Cambria"/>
                <w:i/>
                <w:position w:val="0"/>
                <w:sz w:val="18"/>
                <w:sz w:val="18"/>
                <w:szCs w:val="18"/>
                <w:vertAlign w:val="baseline"/>
                <w:lang w:val="de-DE"/>
              </w:rPr>
              <w:t>Luis Costero</w:t>
            </w:r>
            <w:r>
              <w:rPr>
                <w:rFonts w:eastAsia="Cambria" w:cs="Cambria"/>
                <w:i/>
                <w:sz w:val="18"/>
                <w:szCs w:val="18"/>
                <w:vertAlign w:val="superscript"/>
                <w:lang w:val="it-IT"/>
              </w:rPr>
              <w:t>1</w:t>
            </w:r>
          </w:p>
          <w:p>
            <w:pPr>
              <w:pStyle w:val="Normal"/>
              <w:widowControl w:val="false"/>
              <w:spacing w:lineRule="auto" w:line="240" w:before="0" w:after="0"/>
              <w:ind w:left="1440" w:hanging="0"/>
              <w:jc w:val="left"/>
              <w:rPr/>
            </w:pPr>
            <w:r>
              <w:rPr>
                <w:rFonts w:eastAsia="Cambria" w:cs="Cambria"/>
                <w:i/>
                <w:position w:val="0"/>
                <w:sz w:val="18"/>
                <w:sz w:val="18"/>
                <w:szCs w:val="18"/>
                <w:vertAlign w:val="baseline"/>
                <w:lang w:val="it-IT"/>
              </w:rPr>
              <w:t>Marina Zapater</w:t>
            </w:r>
            <w:r>
              <w:rPr>
                <w:rFonts w:eastAsia="Cambria" w:cs="Cambria"/>
                <w:i/>
                <w:sz w:val="18"/>
                <w:szCs w:val="18"/>
                <w:vertAlign w:val="superscript"/>
                <w:lang w:val="it-IT"/>
              </w:rPr>
              <w:t>1</w:t>
            </w:r>
            <w:r>
              <w:rPr>
                <w:rFonts w:eastAsia="Cambria" w:cs="Cambria" w:ascii="Cambria" w:hAnsi="Cambria"/>
                <w:i/>
                <w:sz w:val="24"/>
                <w:szCs w:val="32"/>
                <w:vertAlign w:val="superscript"/>
                <w:lang w:val="de-DE"/>
              </w:rPr>
              <w:br/>
            </w:r>
            <w:r>
              <w:rPr>
                <w:i/>
                <w:sz w:val="18"/>
                <w:szCs w:val="18"/>
                <w:lang w:val="it-IT"/>
              </w:rPr>
              <w:t>David Atienza</w:t>
            </w:r>
            <w:r>
              <w:rPr>
                <w:i/>
                <w:sz w:val="18"/>
                <w:szCs w:val="18"/>
                <w:vertAlign w:val="superscript"/>
                <w:lang w:val="it-IT"/>
              </w:rPr>
              <w:t>1</w:t>
            </w:r>
            <w:r>
              <w:fldChar w:fldCharType="begin"/>
            </w:r>
            <w:r>
              <w:rPr>
                <w:sz w:val="20"/>
                <w:i/>
                <w:szCs w:val="18"/>
                <w:lang w:val="it-IT"/>
              </w:rPr>
              <w:instrText>NOTEREF _Ref272855554 \h  \* MERGEFORMAT</w:instrText>
            </w:r>
            <w:r>
              <w:rPr>
                <w:i/>
                <w:sz w:val="20"/>
                <w:szCs w:val="18"/>
                <w:lang w:val="it-IT"/>
              </w:rPr>
            </w:r>
            <w:r>
              <w:rPr>
                <w:sz w:val="20"/>
                <w:i/>
                <w:szCs w:val="18"/>
                <w:lang w:val="it-IT"/>
              </w:rPr>
              <w:fldChar w:fldCharType="separate"/>
            </w:r>
            <w:r>
              <w:rPr>
                <w:i/>
                <w:sz w:val="20"/>
                <w:szCs w:val="18"/>
                <w:lang w:val="it-IT"/>
              </w:rPr>
            </w:r>
            <w:bookmarkStart w:id="36" w:name="__Fieldmark__588_1729638673"/>
            <w:bookmarkStart w:id="37" w:name="__Fieldmark__678_3255371111"/>
            <w:bookmarkStart w:id="38" w:name="__Fieldmark__600_2590191016"/>
            <w:bookmarkStart w:id="39" w:name="__Fieldmark__692_1512499319"/>
            <w:bookmarkStart w:id="40" w:name="__Fieldmark__636_2565834834"/>
            <w:bookmarkStart w:id="41" w:name="__Fieldmark__599_1339933418"/>
            <w:bookmarkStart w:id="42" w:name="__Fieldmark__608_4214130128"/>
            <w:bookmarkStart w:id="43" w:name="__Fieldmark__650_2347309188"/>
            <w:bookmarkStart w:id="44" w:name="__Fieldmark__664_1448524884"/>
            <w:bookmarkStart w:id="45" w:name="__Fieldmark__622_2287972815"/>
            <w:bookmarkStart w:id="46" w:name="__Fieldmark__900_3229276388"/>
            <w:r>
              <w:rPr>
                <w:i/>
                <w:sz w:val="20"/>
                <w:szCs w:val="18"/>
                <w:lang w:val="it-IT"/>
              </w:rPr>
            </w:r>
            <w:r>
              <w:rPr>
                <w:sz w:val="20"/>
                <w:i/>
                <w:szCs w:val="18"/>
                <w:lang w:val="it-IT"/>
              </w:rPr>
              <w:fldChar w:fldCharType="end"/>
            </w:r>
            <w:bookmarkEnd w:id="36"/>
            <w:bookmarkEnd w:id="37"/>
            <w:bookmarkEnd w:id="38"/>
            <w:bookmarkEnd w:id="39"/>
            <w:bookmarkEnd w:id="40"/>
            <w:bookmarkEnd w:id="41"/>
            <w:bookmarkEnd w:id="42"/>
            <w:bookmarkEnd w:id="43"/>
            <w:bookmarkEnd w:id="44"/>
            <w:bookmarkEnd w:id="45"/>
            <w:bookmarkEnd w:id="46"/>
          </w:p>
        </w:tc>
        <w:tc>
          <w:tcPr>
            <w:tcW w:w="4788" w:type="dxa"/>
            <w:gridSpan w:val="2"/>
            <w:tcBorders>
              <w:top w:val="nil"/>
              <w:left w:val="nil"/>
              <w:bottom w:val="nil"/>
              <w:right w:val="nil"/>
            </w:tcBorders>
            <w:shd w:fill="auto" w:val="clear"/>
          </w:tcPr>
          <w:p>
            <w:pPr>
              <w:pStyle w:val="Normal"/>
              <w:widowControl w:val="false"/>
              <w:spacing w:lineRule="auto" w:line="240" w:before="0" w:after="0"/>
              <w:jc w:val="left"/>
              <w:rPr>
                <w:lang w:val="it-IT"/>
              </w:rPr>
            </w:pPr>
            <w:r>
              <w:rPr>
                <w:sz w:val="20"/>
                <w:lang w:val="it-IT"/>
              </w:rPr>
              <w:drawing>
                <wp:anchor behindDoc="0" distT="0" distB="0" distL="0" distR="0" simplePos="0" locked="0" layoutInCell="1" allowOverlap="1" relativeHeight="30">
                  <wp:simplePos x="0" y="0"/>
                  <wp:positionH relativeFrom="column">
                    <wp:posOffset>1102360</wp:posOffset>
                  </wp:positionH>
                  <wp:positionV relativeFrom="paragraph">
                    <wp:posOffset>73025</wp:posOffset>
                  </wp:positionV>
                  <wp:extent cx="1286510" cy="365125"/>
                  <wp:effectExtent l="0" t="0" r="0" b="0"/>
                  <wp:wrapNone/>
                  <wp:docPr id="4" name="Picture 11" desc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1" descr="r"/>
                          <pic:cNvPicPr>
                            <a:picLocks noChangeAspect="1" noChangeArrowheads="1"/>
                          </pic:cNvPicPr>
                        </pic:nvPicPr>
                        <pic:blipFill>
                          <a:blip r:embed="rId4"/>
                          <a:stretch>
                            <a:fillRect/>
                          </a:stretch>
                        </pic:blipFill>
                        <pic:spPr bwMode="auto">
                          <a:xfrm>
                            <a:off x="0" y="0"/>
                            <a:ext cx="1286510" cy="365125"/>
                          </a:xfrm>
                          <a:prstGeom prst="rect">
                            <a:avLst/>
                          </a:prstGeom>
                        </pic:spPr>
                      </pic:pic>
                    </a:graphicData>
                  </a:graphic>
                </wp:anchor>
              </w:drawing>
            </w:r>
          </w:p>
          <w:p>
            <w:pPr>
              <w:pStyle w:val="Normal"/>
              <w:widowControl w:val="false"/>
              <w:spacing w:lineRule="auto" w:line="240" w:before="0" w:after="0"/>
              <w:jc w:val="left"/>
              <w:rPr>
                <w:lang w:val="it-IT"/>
              </w:rPr>
            </w:pPr>
            <w:r>
              <w:rPr>
                <w:sz w:val="20"/>
                <w:lang w:val="it-IT"/>
              </w:rPr>
              <w:drawing>
                <wp:anchor behindDoc="0" distT="0" distB="0" distL="0" distR="0" simplePos="0" locked="0" layoutInCell="1" allowOverlap="1" relativeHeight="48">
                  <wp:simplePos x="0" y="0"/>
                  <wp:positionH relativeFrom="column">
                    <wp:posOffset>1124585</wp:posOffset>
                  </wp:positionH>
                  <wp:positionV relativeFrom="paragraph">
                    <wp:posOffset>1118235</wp:posOffset>
                  </wp:positionV>
                  <wp:extent cx="1279525" cy="248920"/>
                  <wp:effectExtent l="0" t="0" r="0" b="0"/>
                  <wp:wrapNone/>
                  <wp:docPr id="5" name="Bild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18" descr=""/>
                          <pic:cNvPicPr>
                            <a:picLocks noChangeAspect="1" noChangeArrowheads="1"/>
                          </pic:cNvPicPr>
                        </pic:nvPicPr>
                        <pic:blipFill>
                          <a:blip r:embed="rId5"/>
                          <a:stretch>
                            <a:fillRect/>
                          </a:stretch>
                        </pic:blipFill>
                        <pic:spPr bwMode="auto">
                          <a:xfrm>
                            <a:off x="0" y="0"/>
                            <a:ext cx="1279525" cy="248920"/>
                          </a:xfrm>
                          <a:prstGeom prst="rect">
                            <a:avLst/>
                          </a:prstGeom>
                        </pic:spPr>
                      </pic:pic>
                    </a:graphicData>
                  </a:graphic>
                </wp:anchor>
              </w:drawing>
            </w:r>
          </w:p>
        </w:tc>
      </w:tr>
      <w:tr>
        <w:trPr/>
        <w:tc>
          <w:tcPr>
            <w:tcW w:w="4788" w:type="dxa"/>
            <w:tcBorders>
              <w:top w:val="nil"/>
              <w:left w:val="nil"/>
              <w:bottom w:val="nil"/>
              <w:right w:val="nil"/>
            </w:tcBorders>
            <w:shd w:fill="auto" w:val="clear"/>
          </w:tcPr>
          <w:p>
            <w:pPr>
              <w:pStyle w:val="Normal"/>
              <w:widowControl w:val="false"/>
              <w:spacing w:lineRule="auto" w:line="240" w:before="0" w:after="0"/>
              <w:jc w:val="left"/>
              <w:rPr>
                <w:b/>
                <w:b/>
                <w:lang w:val="it-IT"/>
              </w:rPr>
            </w:pPr>
            <w:r>
              <w:rPr>
                <w:b/>
                <w:sz w:val="20"/>
                <w:lang w:val="it-IT"/>
              </w:rPr>
            </w:r>
          </w:p>
          <w:p>
            <w:pPr>
              <w:pStyle w:val="Normal"/>
              <w:widowControl w:val="false"/>
              <w:spacing w:lineRule="auto" w:line="240" w:before="0" w:after="0"/>
              <w:jc w:val="left"/>
              <w:rPr>
                <w:b/>
                <w:b/>
              </w:rPr>
            </w:pPr>
            <w:r>
              <w:rPr>
                <w:b/>
                <w:sz w:val="20"/>
              </w:rPr>
              <w:t>Contact Information:</w:t>
            </w:r>
          </w:p>
          <w:p>
            <w:pPr>
              <w:pStyle w:val="Normal"/>
              <w:widowControl w:val="false"/>
              <w:spacing w:lineRule="auto" w:line="240" w:before="0" w:after="0"/>
              <w:ind w:left="1440" w:hanging="0"/>
              <w:jc w:val="left"/>
              <w:rPr>
                <w:sz w:val="20"/>
              </w:rPr>
            </w:pPr>
            <w:r>
              <w:rPr>
                <w:sz w:val="20"/>
              </w:rPr>
              <w:t>EPFL-STI-IEL-ESL</w:t>
            </w:r>
          </w:p>
          <w:p>
            <w:pPr>
              <w:pStyle w:val="Normal"/>
              <w:widowControl w:val="false"/>
              <w:spacing w:lineRule="auto" w:line="240" w:before="0" w:after="0"/>
              <w:ind w:left="1440" w:hanging="0"/>
              <w:jc w:val="left"/>
              <w:rPr>
                <w:sz w:val="20"/>
              </w:rPr>
            </w:pPr>
            <w:r>
              <w:rPr>
                <w:sz w:val="20"/>
              </w:rPr>
              <w:t>Bâtiment ELG, ELG 130</w:t>
            </w:r>
          </w:p>
          <w:p>
            <w:pPr>
              <w:pStyle w:val="Normal"/>
              <w:widowControl w:val="false"/>
              <w:spacing w:lineRule="auto" w:line="240" w:before="0" w:after="0"/>
              <w:ind w:left="1440" w:hanging="0"/>
              <w:jc w:val="left"/>
              <w:rPr>
                <w:sz w:val="20"/>
              </w:rPr>
            </w:pPr>
            <w:r>
              <w:rPr>
                <w:sz w:val="20"/>
              </w:rPr>
              <w:t>Station 11</w:t>
            </w:r>
          </w:p>
          <w:p>
            <w:pPr>
              <w:pStyle w:val="Normal"/>
              <w:widowControl w:val="false"/>
              <w:spacing w:lineRule="auto" w:line="240" w:before="0" w:after="0"/>
              <w:ind w:left="1440" w:hanging="0"/>
              <w:jc w:val="left"/>
              <w:rPr>
                <w:b/>
                <w:b/>
              </w:rPr>
            </w:pPr>
            <w:r>
              <w:rPr>
                <w:sz w:val="20"/>
              </w:rPr>
              <w:t>1015 Lausanne, Switzerland</w:t>
            </w:r>
          </w:p>
        </w:tc>
        <w:tc>
          <w:tcPr>
            <w:tcW w:w="1835" w:type="dxa"/>
            <w:tcBorders>
              <w:top w:val="nil"/>
              <w:left w:val="nil"/>
              <w:bottom w:val="nil"/>
              <w:right w:val="nil"/>
            </w:tcBorders>
            <w:shd w:fill="auto" w:val="clear"/>
            <w:vAlign w:val="bottom"/>
          </w:tcPr>
          <w:p>
            <w:pPr>
              <w:pStyle w:val="Normal"/>
              <w:widowControl w:val="false"/>
              <w:spacing w:lineRule="auto" w:line="240" w:before="0" w:after="0"/>
              <w:jc w:val="right"/>
              <w:rPr>
                <w:b/>
                <w:b/>
              </w:rPr>
            </w:pPr>
            <w:r>
              <w:rPr>
                <w:b/>
                <w:sz w:val="20"/>
              </w:rPr>
              <w:t>Email:</w:t>
            </w:r>
          </w:p>
          <w:p>
            <w:pPr>
              <w:pStyle w:val="Normal"/>
              <w:widowControl w:val="false"/>
              <w:spacing w:lineRule="auto" w:line="240" w:before="0" w:after="0"/>
              <w:jc w:val="right"/>
              <w:rPr>
                <w:b/>
                <w:b/>
              </w:rPr>
            </w:pPr>
            <w:r>
              <w:rPr>
                <w:b/>
                <w:sz w:val="20"/>
              </w:rPr>
            </w:r>
          </w:p>
          <w:p>
            <w:pPr>
              <w:pStyle w:val="Normal"/>
              <w:widowControl w:val="false"/>
              <w:spacing w:lineRule="auto" w:line="240" w:before="0" w:after="0"/>
              <w:jc w:val="right"/>
              <w:rPr>
                <w:sz w:val="20"/>
              </w:rPr>
            </w:pPr>
            <w:r>
              <w:rPr>
                <w:b/>
                <w:sz w:val="20"/>
              </w:rPr>
              <w:t>URL:</w:t>
            </w:r>
          </w:p>
        </w:tc>
        <w:tc>
          <w:tcPr>
            <w:tcW w:w="2953" w:type="dxa"/>
            <w:tcBorders>
              <w:top w:val="nil"/>
              <w:left w:val="nil"/>
              <w:bottom w:val="nil"/>
              <w:right w:val="nil"/>
            </w:tcBorders>
            <w:shd w:fill="auto" w:val="clear"/>
            <w:vAlign w:val="bottom"/>
          </w:tcPr>
          <w:p>
            <w:pPr>
              <w:pStyle w:val="Normal"/>
              <w:widowControl w:val="false"/>
              <w:spacing w:lineRule="auto" w:line="240" w:before="0" w:after="0"/>
              <w:jc w:val="left"/>
              <w:rPr/>
            </w:pPr>
            <w:hyperlink r:id="rId6">
              <w:r>
                <w:rPr>
                  <w:rStyle w:val="InternetLink"/>
                  <w:vanish/>
                  <w:sz w:val="20"/>
                </w:rPr>
                <w:t>3d-ice@listes.epfl.ch</w:t>
              </w:r>
            </w:hyperlink>
          </w:p>
          <w:p>
            <w:pPr>
              <w:pStyle w:val="Normal"/>
              <w:widowControl w:val="false"/>
              <w:spacing w:lineRule="auto" w:line="240" w:before="0" w:after="0"/>
              <w:jc w:val="left"/>
              <w:rPr>
                <w:sz w:val="20"/>
              </w:rPr>
            </w:pPr>
            <w:r>
              <w:rPr>
                <w:rStyle w:val="InternetLink"/>
                <w:color w:val="00000A"/>
                <w:sz w:val="20"/>
                <w:u w:val="none"/>
              </w:rPr>
              <w:t>3d-ice@listes.epfl.ch</w:t>
            </w:r>
          </w:p>
          <w:p>
            <w:pPr>
              <w:pStyle w:val="Normal"/>
              <w:widowControl w:val="false"/>
              <w:spacing w:lineRule="auto" w:line="240" w:before="0" w:after="0"/>
              <w:jc w:val="left"/>
              <w:rPr>
                <w:sz w:val="20"/>
              </w:rPr>
            </w:pPr>
            <w:r>
              <w:rPr>
                <w:color w:val="00000A"/>
                <w:sz w:val="20"/>
                <w:u w:val="none"/>
              </w:rPr>
              <w:t>(SUBSCRIPTION NECESSARY!)</w:t>
            </w:r>
          </w:p>
          <w:p>
            <w:pPr>
              <w:pStyle w:val="Normal"/>
              <w:widowControl w:val="false"/>
              <w:spacing w:lineRule="auto" w:line="240" w:before="0" w:after="0"/>
              <w:jc w:val="left"/>
              <w:rPr>
                <w:sz w:val="20"/>
              </w:rPr>
            </w:pPr>
            <w:r>
              <w:rPr>
                <w:color w:val="00000A"/>
                <w:sz w:val="20"/>
                <w:u w:val="none"/>
              </w:rPr>
              <w:t>http://esl.epfl.ch/3d-ice</w:t>
            </w:r>
          </w:p>
          <w:p>
            <w:pPr>
              <w:pStyle w:val="Normal"/>
              <w:widowControl w:val="false"/>
              <w:spacing w:lineRule="auto" w:line="240" w:before="0" w:after="0"/>
              <w:jc w:val="left"/>
              <w:rPr/>
            </w:pPr>
            <w:hyperlink r:id="rId7">
              <w:r>
                <w:rPr>
                  <w:rStyle w:val="InternetLink"/>
                  <w:vanish/>
                  <w:sz w:val="20"/>
                </w:rPr>
                <w:t>http://esl.epfl.ch/3d-ice.html</w:t>
              </w:r>
            </w:hyperlink>
          </w:p>
        </w:tc>
      </w:tr>
      <w:tr>
        <w:trPr>
          <w:trHeight w:val="70" w:hRule="atLeast"/>
        </w:trPr>
        <w:tc>
          <w:tcPr>
            <w:tcW w:w="4788" w:type="dxa"/>
            <w:tcBorders>
              <w:top w:val="nil"/>
              <w:left w:val="nil"/>
              <w:bottom w:val="nil"/>
              <w:right w:val="nil"/>
            </w:tcBorders>
            <w:shd w:fill="auto" w:val="clear"/>
          </w:tcPr>
          <w:p>
            <w:pPr>
              <w:pStyle w:val="Normal"/>
              <w:widowControl w:val="false"/>
              <w:spacing w:lineRule="auto" w:line="240" w:before="0" w:after="0"/>
              <w:jc w:val="left"/>
              <w:rPr>
                <w:b/>
                <w:b/>
              </w:rPr>
            </w:pPr>
            <w:r>
              <w:rPr>
                <w:b/>
                <w:sz w:val="20"/>
              </w:rPr>
            </w:r>
          </w:p>
        </w:tc>
        <w:tc>
          <w:tcPr>
            <w:tcW w:w="1835" w:type="dxa"/>
            <w:tcBorders>
              <w:top w:val="nil"/>
              <w:left w:val="nil"/>
              <w:bottom w:val="nil"/>
              <w:right w:val="nil"/>
            </w:tcBorders>
            <w:shd w:fill="auto" w:val="clear"/>
            <w:vAlign w:val="bottom"/>
          </w:tcPr>
          <w:p>
            <w:pPr>
              <w:pStyle w:val="Normal"/>
              <w:widowControl w:val="false"/>
              <w:spacing w:lineRule="auto" w:line="240" w:before="0" w:after="0"/>
              <w:jc w:val="right"/>
              <w:rPr>
                <w:b/>
                <w:b/>
              </w:rPr>
            </w:pPr>
            <w:r>
              <w:rPr>
                <w:b/>
                <w:sz w:val="20"/>
              </w:rPr>
            </w:r>
          </w:p>
        </w:tc>
        <w:tc>
          <w:tcPr>
            <w:tcW w:w="2953" w:type="dxa"/>
            <w:tcBorders>
              <w:top w:val="nil"/>
              <w:left w:val="nil"/>
              <w:bottom w:val="nil"/>
              <w:right w:val="nil"/>
            </w:tcBorders>
            <w:shd w:fill="auto" w:val="clear"/>
            <w:vAlign w:val="bottom"/>
          </w:tcPr>
          <w:p>
            <w:pPr>
              <w:pStyle w:val="Normal"/>
              <w:widowControl w:val="false"/>
              <w:spacing w:lineRule="auto" w:line="240" w:before="0" w:after="0"/>
              <w:jc w:val="left"/>
              <w:rPr>
                <w:sz w:val="20"/>
              </w:rPr>
            </w:pPr>
            <w:r>
              <w:rPr>
                <w:sz w:val="20"/>
              </w:rPr>
            </w:r>
          </w:p>
        </w:tc>
      </w:tr>
      <w:tr>
        <w:trPr/>
        <w:tc>
          <w:tcPr>
            <w:tcW w:w="9576" w:type="dxa"/>
            <w:gridSpan w:val="3"/>
            <w:tcBorders>
              <w:top w:val="nil"/>
              <w:left w:val="nil"/>
              <w:bottom w:val="nil"/>
              <w:right w:val="nil"/>
            </w:tcBorders>
            <w:shd w:fill="auto" w:val="clear"/>
          </w:tcPr>
          <w:p>
            <w:pPr>
              <w:pStyle w:val="Normal"/>
              <w:widowControl w:val="false"/>
              <w:spacing w:lineRule="auto" w:line="240" w:before="0" w:after="0"/>
              <w:jc w:val="both"/>
              <w:rPr>
                <w:sz w:val="18"/>
              </w:rPr>
            </w:pPr>
            <w:r>
              <w:rPr>
                <w:sz w:val="18"/>
              </w:rPr>
              <w:t>This research has been partially funded by the EC H2020 RECIPE project (GA No. 801137), and the ERC Consolidator Grant COMPUSAPIEN (GA No. 725657), and by the EC EUROLAB-4-HPC CSA Grant (GA No. 800962) through a Short Term Collaboration Project  for Dr. Federico Terraneo with EPFL.</w:t>
            </w:r>
          </w:p>
          <w:p>
            <w:pPr>
              <w:pStyle w:val="Normal"/>
              <w:widowControl w:val="false"/>
              <w:spacing w:lineRule="auto" w:line="240" w:before="0" w:after="0"/>
              <w:jc w:val="both"/>
              <w:rPr>
                <w:sz w:val="18"/>
              </w:rPr>
            </w:pPr>
            <w:r>
              <w:rPr>
                <w:sz w:val="18"/>
              </w:rPr>
              <w:t>This research has been partially funded by the Nano-Tera RTD project CMOSAIC (ref.123618) - which is financed by the Swiss Confederation and scientifically evaluated by SNSF, and the PRO3D project- financed by the European Community 7th Framework Programme (ref.FP7-ICT-248776).</w:t>
            </w:r>
            <w:bookmarkStart w:id="47" w:name="__DdeLink__3506_3229276388"/>
            <w:bookmarkEnd w:id="47"/>
          </w:p>
          <w:p>
            <w:pPr>
              <w:pStyle w:val="Normal"/>
              <w:widowControl w:val="false"/>
              <w:spacing w:lineRule="auto" w:line="240" w:before="0" w:after="0"/>
              <w:jc w:val="both"/>
              <w:rPr>
                <w:sz w:val="20"/>
              </w:rPr>
            </w:pPr>
            <w:r>
              <w:rPr>
                <w:sz w:val="20"/>
              </w:rPr>
            </w:r>
          </w:p>
        </w:tc>
      </w:tr>
    </w:tbl>
    <w:p>
      <w:pPr>
        <w:pStyle w:val="Heading1"/>
        <w:numPr>
          <w:ilvl w:val="0"/>
          <w:numId w:val="2"/>
        </w:numPr>
        <w:jc w:val="both"/>
        <w:rPr/>
      </w:pPr>
      <w:bookmarkStart w:id="48" w:name="__RefHeading___Toc2933_2393532176"/>
      <w:bookmarkEnd w:id="48"/>
      <w:r>
        <w:rPr/>
        <w:t>What is new in 3.x?</w:t>
      </w:r>
    </w:p>
    <w:p>
      <w:pPr>
        <w:pStyle w:val="Normal"/>
        <w:widowControl/>
        <w:suppressAutoHyphens w:val="true"/>
        <w:bidi w:val="0"/>
        <w:spacing w:lineRule="auto" w:line="276" w:before="0" w:after="200"/>
        <w:ind w:left="360" w:right="0" w:hanging="360"/>
        <w:jc w:val="left"/>
        <w:rPr/>
      </w:pPr>
      <w:r>
        <w:rPr/>
        <w:t>3D-ICE 3.x features several new additions:</w:t>
      </w:r>
    </w:p>
    <w:p>
      <w:pPr>
        <w:pStyle w:val="ListParagraph"/>
        <w:numPr>
          <w:ilvl w:val="0"/>
          <w:numId w:val="19"/>
        </w:numPr>
        <w:jc w:val="both"/>
        <w:rPr/>
      </w:pPr>
      <w:r>
        <w:rPr/>
        <w:t>Supported non-uniform discretization for floorplan elements. Floorplan elements can have different cell sizes in thermal modeling and simulation.</w:t>
      </w:r>
    </w:p>
    <w:p>
      <w:pPr>
        <w:pStyle w:val="ListParagraph"/>
        <w:numPr>
          <w:ilvl w:val="0"/>
          <w:numId w:val="19"/>
        </w:numPr>
        <w:jc w:val="both"/>
        <w:rPr/>
      </w:pPr>
      <w:r>
        <w:rPr/>
        <w:t>Non-uniform discretization for layers is also supported.</w:t>
      </w:r>
    </w:p>
    <w:p>
      <w:pPr>
        <w:pStyle w:val="ListParagraph"/>
        <w:numPr>
          <w:ilvl w:val="0"/>
          <w:numId w:val="19"/>
        </w:numPr>
        <w:jc w:val="both"/>
        <w:rPr/>
      </w:pPr>
      <w:r>
        <w:rPr/>
        <w:t>Supported non-uniform discretization in both steady and transient simulation, and it is compatible with all other functions in the uniform mode.</w:t>
      </w:r>
    </w:p>
    <w:p>
      <w:pPr>
        <w:pStyle w:val="ListParagraph"/>
        <w:numPr>
          <w:ilvl w:val="0"/>
          <w:numId w:val="19"/>
        </w:numPr>
        <w:jc w:val="both"/>
        <w:rPr/>
      </w:pPr>
      <w:r>
        <w:rPr/>
        <w:t>Added models of two COTS heat sinks, the HS483 air sink and the cuplex kryos 21606 water block.</w:t>
      </w:r>
    </w:p>
    <w:p>
      <w:pPr>
        <w:pStyle w:val="ListParagraph"/>
        <w:numPr>
          <w:ilvl w:val="0"/>
          <w:numId w:val="19"/>
        </w:numPr>
        <w:jc w:val="both"/>
        <w:rPr/>
      </w:pPr>
      <w:r>
        <w:rPr/>
        <w:t>Added Modelica libraries for heat sink modeling to produce FMIs for co-simulation.</w:t>
      </w:r>
    </w:p>
    <w:p>
      <w:pPr>
        <w:pStyle w:val="ListParagraph"/>
        <w:numPr>
          <w:ilvl w:val="0"/>
          <w:numId w:val="19"/>
        </w:numPr>
        <w:jc w:val="both"/>
        <w:rPr/>
      </w:pPr>
      <w:r>
        <w:rPr/>
        <w:t>Added grid pitch mapping to FMI interface to allow simulation of heat sinks using a coarser grid.</w:t>
      </w:r>
    </w:p>
    <w:p>
      <w:pPr>
        <w:pStyle w:val="ListParagraph"/>
        <w:numPr>
          <w:ilvl w:val="0"/>
          <w:numId w:val="19"/>
        </w:numPr>
        <w:jc w:val="both"/>
        <w:rPr/>
      </w:pPr>
      <w:r>
        <w:rPr/>
        <w:t>Made wrappers for FMI, C++ and Python for the co-simulation interface for pluggable heat sinks.</w:t>
      </w:r>
    </w:p>
    <w:p>
      <w:pPr>
        <w:pStyle w:val="ListParagraph"/>
        <w:numPr>
          <w:ilvl w:val="0"/>
          <w:numId w:val="19"/>
        </w:numPr>
        <w:jc w:val="both"/>
        <w:rPr/>
      </w:pPr>
      <w:r>
        <w:rPr/>
        <w:t>Added a pluggable heat sink C interface that makes it possible to extend 3D-ICE with third party heat sink models.</w:t>
      </w:r>
    </w:p>
    <w:p>
      <w:pPr>
        <w:pStyle w:val="ListParagraph"/>
        <w:numPr>
          <w:ilvl w:val="0"/>
          <w:numId w:val="19"/>
        </w:numPr>
        <w:jc w:val="both"/>
        <w:rPr/>
      </w:pPr>
      <w:r>
        <w:rPr/>
        <w:t>Added co-simulation support with a separate thermal model for the heat sink.</w:t>
      </w:r>
    </w:p>
    <w:p>
      <w:pPr>
        <w:pStyle w:val="ListParagraph"/>
        <w:numPr>
          <w:ilvl w:val="0"/>
          <w:numId w:val="19"/>
        </w:numPr>
        <w:jc w:val="both"/>
        <w:rPr/>
      </w:pPr>
      <w:r>
        <w:rPr/>
        <w:t>Made it possible for the last layer of the 3D-ICE stack to have a different size than the other layers, to support heat spreader modeling and passive air convection packages.</w:t>
      </w:r>
    </w:p>
    <w:p>
      <w:pPr>
        <w:pStyle w:val="Heading1"/>
        <w:numPr>
          <w:ilvl w:val="0"/>
          <w:numId w:val="2"/>
        </w:numPr>
        <w:jc w:val="both"/>
        <w:rPr/>
      </w:pPr>
      <w:bookmarkStart w:id="49" w:name="__RefHeading___Toc2935_2393532176"/>
      <w:bookmarkEnd w:id="49"/>
      <w:r>
        <w:rPr/>
        <w:t>What is new in 2.x?</w:t>
      </w:r>
    </w:p>
    <w:p>
      <w:pPr>
        <w:pStyle w:val="Normal"/>
        <w:jc w:val="both"/>
        <w:rPr/>
      </w:pPr>
      <w:r>
        <w:rPr/>
        <w:t xml:space="preserve">3D-ICE 2.x features several new additions and improvements over the first release of the simulator in September 2010. You would find the following main changes in this package (changes specific to version 2.2 are highlighted in </w:t>
      </w:r>
      <w:r>
        <w:rPr>
          <w:b/>
        </w:rPr>
        <w:t>bold</w:t>
      </w:r>
      <w:r>
        <w:rPr/>
        <w:t>):</w:t>
      </w:r>
    </w:p>
    <w:p>
      <w:pPr>
        <w:pStyle w:val="ListParagraph"/>
        <w:numPr>
          <w:ilvl w:val="0"/>
          <w:numId w:val="19"/>
        </w:numPr>
        <w:jc w:val="both"/>
        <w:rPr/>
      </w:pPr>
      <w:r>
        <w:rPr/>
        <w:t>A new porous medium model has been implemented for the simulation of convective heat transport in interlayer microchannel cavities.</w:t>
      </w:r>
    </w:p>
    <w:p>
      <w:pPr>
        <w:pStyle w:val="ListParagraph"/>
        <w:numPr>
          <w:ilvl w:val="0"/>
          <w:numId w:val="19"/>
        </w:numPr>
        <w:jc w:val="both"/>
        <w:rPr/>
      </w:pPr>
      <w:r>
        <w:rPr/>
        <w:t>Various new and enhanced heat transfer geometries have been introduced for the interlayer cavities.</w:t>
      </w:r>
    </w:p>
    <w:p>
      <w:pPr>
        <w:pStyle w:val="ListParagraph"/>
        <w:numPr>
          <w:ilvl w:val="0"/>
          <w:numId w:val="19"/>
        </w:numPr>
        <w:jc w:val="both"/>
        <w:rPr/>
      </w:pPr>
      <w:r>
        <w:rPr/>
        <w:t xml:space="preserve">The user interface has been improved considerably. All the input-output information to the simulator has been transferred to the stack descriptor file, requiring little or no programming of the main C file by the user. This feature brings it closer to SPICE-like circuit simulators that use netlists for circuit descriptions. Hence, 3D-ICE can now function as both a stand-alone thermal simulator as well as a software thermal library. This functionality allows generating thermal </w:t>
      </w:r>
      <w:r>
        <w:rPr>
          <w:b/>
        </w:rPr>
        <w:t>and power</w:t>
      </w:r>
      <w:r>
        <w:rPr/>
        <w:t xml:space="preserve"> maps of the IC for each die of the 3D stack.</w:t>
      </w:r>
    </w:p>
    <w:p>
      <w:pPr>
        <w:pStyle w:val="ListParagraph"/>
        <w:numPr>
          <w:ilvl w:val="0"/>
          <w:numId w:val="19"/>
        </w:numPr>
        <w:jc w:val="both"/>
        <w:rPr/>
      </w:pPr>
      <w:r>
        <w:rPr/>
        <w:t>The user now has the option of doing steady state thermal analysis in addition to transient analysis. This is useful for obtaining steady state temperatures for some average/corner case heat dissipation scenarios, without having to wait for the transients to settle; as well as for generating initial temperature states for certain types of transient simulations.</w:t>
      </w:r>
    </w:p>
    <w:p>
      <w:pPr>
        <w:pStyle w:val="ListParagraph"/>
        <w:numPr>
          <w:ilvl w:val="0"/>
          <w:numId w:val="19"/>
        </w:numPr>
        <w:jc w:val="both"/>
        <w:rPr/>
      </w:pPr>
      <w:r>
        <w:rPr/>
        <w:t>A new network interface has been created for online thermal simulations of IC architectures, in tandem with functional emulation on other devices. Under this system, 3D-ICE installed on a computer acts as the server, which communicates with a device emulating the desired architecture via an Ethernet cable. This feature is particularly useful for those who wish to build and test online-thermal-performance-management schemes with Hardware-Software co-simulation of ICs with liquid cooling without actually building the device [6].</w:t>
      </w:r>
    </w:p>
    <w:p>
      <w:pPr>
        <w:pStyle w:val="ListParagraph"/>
        <w:numPr>
          <w:ilvl w:val="0"/>
          <w:numId w:val="19"/>
        </w:numPr>
        <w:jc w:val="both"/>
        <w:rPr/>
      </w:pPr>
      <w:r>
        <w:rPr/>
        <w:t xml:space="preserve">Extensive new documentation has been provided with this release to help simplify the usage of the simulator– this includes this extended user guide, research publications and a new </w:t>
      </w:r>
      <w:r>
        <w:rPr>
          <w:i/>
        </w:rPr>
        <w:t>Doxygen</w:t>
      </w:r>
      <w:r>
        <w:rPr/>
        <w:t xml:space="preserve"> source code documentation. Doxygen has been used to create an organized html-based visualization of the 3D-ICE software library files and can be accessed by running in the </w:t>
      </w:r>
      <w:r>
        <w:rPr>
          <w:rFonts w:cs="Courier New" w:ascii="Courier New" w:hAnsi="Courier New"/>
          <w:sz w:val="18"/>
        </w:rPr>
        <w:t>make doc</w:t>
      </w:r>
      <w:r>
        <w:rPr/>
        <w:t xml:space="preserve"> command inside the 3D-ICE folder, and then opening </w:t>
      </w:r>
      <w:r>
        <w:rPr>
          <w:rFonts w:cs="Courier New" w:ascii="Courier New" w:hAnsi="Courier New"/>
          <w:sz w:val="18"/>
        </w:rPr>
        <w:t>3d-ice/doc/html/index.html</w:t>
      </w:r>
      <w:r>
        <w:rPr/>
        <w:t xml:space="preserve"> on your web browser.</w:t>
      </w:r>
    </w:p>
    <w:p>
      <w:pPr>
        <w:pStyle w:val="ListParagraph"/>
        <w:numPr>
          <w:ilvl w:val="0"/>
          <w:numId w:val="19"/>
        </w:numPr>
        <w:jc w:val="both"/>
        <w:rPr/>
      </w:pPr>
      <w:r>
        <w:rPr/>
        <w:t xml:space="preserve">Floorplan elements can now be of irregular shapes, as long as they can be represented as a combination of rectangles (defined as an IC element). This feature has been introduced to support the more complex floorplanning that is seen in realistic architectures. </w:t>
      </w:r>
      <w:r>
        <w:rPr>
          <w:b/>
        </w:rPr>
        <w:t>A new technique to align the IC elements on the undelaying thermal cells has been implemented. It allows declaring IC elements smaller than thermal cells as well as posing more than one IC element on the same thermal cell (see section 6.B).</w:t>
      </w:r>
    </w:p>
    <w:p>
      <w:pPr>
        <w:pStyle w:val="ListParagraph"/>
        <w:numPr>
          <w:ilvl w:val="0"/>
          <w:numId w:val="19"/>
        </w:numPr>
        <w:jc w:val="both"/>
        <w:rPr/>
      </w:pPr>
      <w:r>
        <w:rPr>
          <w:b/>
        </w:rPr>
        <w:t>The heat sink model has been extended to support two different techniques to model the dissipation of the heat through the top surface of the IC (see section 6.A.IV).</w:t>
      </w:r>
    </w:p>
    <w:p>
      <w:pPr>
        <w:pStyle w:val="Normal"/>
        <w:ind w:left="360" w:hanging="0"/>
        <w:jc w:val="both"/>
        <w:rPr/>
      </w:pPr>
      <w:r>
        <w:rPr/>
        <w:t xml:space="preserve">To discover the </w:t>
      </w:r>
      <w:r>
        <w:rPr>
          <w:b/>
        </w:rPr>
        <w:t>changes in the library that are related to the implementation and the interface of the software library</w:t>
      </w:r>
      <w:r>
        <w:rPr/>
        <w:t xml:space="preserve"> please see the CHANGELOG file in the package.</w:t>
      </w:r>
      <w:r>
        <w:br w:type="page"/>
      </w:r>
    </w:p>
    <w:p>
      <w:pPr>
        <w:pStyle w:val="Heading1"/>
        <w:numPr>
          <w:ilvl w:val="0"/>
          <w:numId w:val="2"/>
        </w:numPr>
        <w:jc w:val="both"/>
        <w:rPr/>
      </w:pPr>
      <w:bookmarkStart w:id="50" w:name="__RefHeading___Toc2937_2393532176"/>
      <w:bookmarkStart w:id="51" w:name="_Toc442446431"/>
      <w:bookmarkEnd w:id="50"/>
      <w:bookmarkEnd w:id="51"/>
      <w:r>
        <w:rPr/>
        <w:t>Who needs 3D-ICE?</w:t>
      </w:r>
    </w:p>
    <w:p>
      <w:pPr>
        <w:pStyle w:val="Normal"/>
        <w:jc w:val="both"/>
        <w:rPr/>
      </w:pPr>
      <w:r>
        <w:rPr>
          <w:b/>
        </w:rPr>
        <w:t>3D-ICE</w:t>
      </w:r>
      <w:r>
        <w:rPr/>
        <w:t>, or “</w:t>
      </w:r>
      <w:r>
        <w:rPr>
          <w:b/>
        </w:rPr>
        <w:t>3D Interlayer Cooling Emulator</w:t>
      </w:r>
      <w:r>
        <w:rPr/>
        <w:t xml:space="preserve">”, is a Linux based </w:t>
      </w:r>
      <w:r>
        <w:rPr>
          <w:i/>
        </w:rPr>
        <w:t xml:space="preserve">generic simulation platform </w:t>
      </w:r>
      <w:r>
        <w:rPr/>
        <w:t>written in C to simulate the transient thermal behavior of 3D IC structures with inter-tier microchannel heat sinks. It is intended for various purposes including, but not limited to:</w:t>
      </w:r>
    </w:p>
    <w:p>
      <w:pPr>
        <w:pStyle w:val="ListParagraph"/>
        <w:numPr>
          <w:ilvl w:val="0"/>
          <w:numId w:val="9"/>
        </w:numPr>
        <w:jc w:val="both"/>
        <w:rPr/>
      </w:pPr>
      <w:r>
        <w:rPr/>
        <w:t>Performing thermal analysis of 2D or 3D ICs during early stages of VLSI circuit/architecture design by electronic engineers.</w:t>
      </w:r>
    </w:p>
    <w:p>
      <w:pPr>
        <w:pStyle w:val="ListParagraph"/>
        <w:numPr>
          <w:ilvl w:val="0"/>
          <w:numId w:val="9"/>
        </w:numPr>
        <w:jc w:val="both"/>
        <w:rPr/>
      </w:pPr>
      <w:r>
        <w:rPr/>
        <w:t>Simulating run-time and design-time thermal management strategies such as DVFS, dynamic work allocation, variable coolant flow rate, architectural floorplanning etc.</w:t>
      </w:r>
    </w:p>
    <w:p>
      <w:pPr>
        <w:pStyle w:val="ListParagraph"/>
        <w:numPr>
          <w:ilvl w:val="0"/>
          <w:numId w:val="9"/>
        </w:numPr>
        <w:jc w:val="both"/>
        <w:rPr/>
      </w:pPr>
      <w:r>
        <w:rPr/>
        <w:t>Testing of microchannel heat-sink performances by microfabrication engineers and heat-sink designers.</w:t>
      </w:r>
    </w:p>
    <w:p>
      <w:pPr>
        <w:pStyle w:val="ListParagraph"/>
        <w:numPr>
          <w:ilvl w:val="0"/>
          <w:numId w:val="9"/>
        </w:numPr>
        <w:jc w:val="both"/>
        <w:rPr/>
      </w:pPr>
      <w:r>
        <w:rPr/>
        <w:t>Evaluating accuracies of new and existing heat transfer correlations by experimental heat transfer engineers.</w:t>
      </w:r>
    </w:p>
    <w:p>
      <w:pPr>
        <w:pStyle w:val="Normal"/>
        <w:jc w:val="center"/>
        <w:rPr/>
      </w:pPr>
      <w:r>
        <w:rPr/>
        <w:drawing>
          <wp:inline distT="0" distB="0" distL="0" distR="0">
            <wp:extent cx="2865755" cy="1267460"/>
            <wp:effectExtent l="0" t="0" r="0" b="0"/>
            <wp:docPr id="6"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 descr=""/>
                    <pic:cNvPicPr>
                      <a:picLocks noChangeAspect="1" noChangeArrowheads="1"/>
                    </pic:cNvPicPr>
                  </pic:nvPicPr>
                  <pic:blipFill>
                    <a:blip r:embed="rId8"/>
                    <a:stretch>
                      <a:fillRect/>
                    </a:stretch>
                  </pic:blipFill>
                  <pic:spPr bwMode="auto">
                    <a:xfrm>
                      <a:off x="0" y="0"/>
                      <a:ext cx="2865755" cy="1267460"/>
                    </a:xfrm>
                    <a:prstGeom prst="rect">
                      <a:avLst/>
                    </a:prstGeom>
                  </pic:spPr>
                </pic:pic>
              </a:graphicData>
            </a:graphic>
          </wp:inline>
        </w:drawing>
      </w:r>
    </w:p>
    <w:p>
      <w:pPr>
        <w:pStyle w:val="Normal"/>
        <w:jc w:val="both"/>
        <w:rPr/>
      </w:pPr>
      <w:r>
        <w:rPr/>
        <w:t>3D-ICE is based on the conventional compact modeling of heat transfer by conduction in solids, and advances a novel compact modeling methodology, called the Compact Transient Thermal Modeling (CTTM), for heat transfer by convection in microchannels. The user is free to use microchannel heat sinks of any dimension with the corresponding heat transfer performance data depending upon the accuracy/speed needs of the user. This simulator is ideal for situations where a quick estimate of chip temperatures is required, when the electronic designer is still iterating between various floorplanning and operating strategies in order to optimize for electronic performance and thermal safety/reliability of the final system.</w:t>
      </w:r>
    </w:p>
    <w:p>
      <w:pPr>
        <w:pStyle w:val="Normal"/>
        <w:jc w:val="both"/>
        <w:rPr/>
      </w:pPr>
      <w:r>
        <w:rPr/>
        <w:t xml:space="preserve">In addition, the format of inputs, outputs and the problem construction/solving in 3D-ICE have been modeled on the popular compact modeling simulator </w:t>
      </w:r>
      <w:r>
        <w:rPr>
          <w:b/>
        </w:rPr>
        <w:t>HotSpot</w:t>
      </w:r>
      <w:r>
        <w:rPr/>
        <w:t>, making it easier for users who are familiar with this tool or with conventional circuit simulators. With numerous functions to access a variety of thermal data during the simulation, the user can reach deep into the heart of the thermal simulation, use the data to interface with other (popular or custom) tools and automate any kind of design/run-time optimization algorithms using 3D-ICE. More functionality will be added in the future versions of 3D-ICE to make this interfacing even more automatic and easy.</w:t>
      </w:r>
    </w:p>
    <w:p>
      <w:pPr>
        <w:pStyle w:val="Normal"/>
        <w:jc w:val="both"/>
        <w:rPr/>
      </w:pPr>
      <w:r>
        <w:rPr/>
        <w:t>For more details on the theory and discussions about the accuracy/speed of the modeling technique used in 3D-ICE, please refer to the publications [1] and [2] available with this library.</w:t>
      </w:r>
      <w:r>
        <w:br w:type="page"/>
      </w:r>
    </w:p>
    <w:p>
      <w:pPr>
        <w:pStyle w:val="Heading1"/>
        <w:numPr>
          <w:ilvl w:val="0"/>
          <w:numId w:val="2"/>
        </w:numPr>
        <w:rPr/>
      </w:pPr>
      <w:bookmarkStart w:id="52" w:name="__RefHeading___Toc2939_2393532176"/>
      <w:bookmarkStart w:id="53" w:name="_Toc442446432"/>
      <w:bookmarkEnd w:id="52"/>
      <w:bookmarkEnd w:id="53"/>
      <w:r>
        <w:rPr/>
        <w:t>Before you begin</w:t>
      </w:r>
    </w:p>
    <w:p>
      <w:pPr>
        <w:pStyle w:val="Normal"/>
        <w:jc w:val="both"/>
        <w:rPr/>
      </w:pPr>
      <w:r>
        <w:rPr/>
        <w:t>The 3D-ICE library has been written and developed using:</w:t>
      </w:r>
    </w:p>
    <w:p>
      <w:pPr>
        <w:pStyle w:val="ListParagraph"/>
        <w:numPr>
          <w:ilvl w:val="0"/>
          <w:numId w:val="1"/>
        </w:numPr>
        <w:jc w:val="both"/>
        <w:rPr/>
      </w:pPr>
      <w:r>
        <w:rPr/>
        <w:t>gcc 7.4.0</w:t>
      </w:r>
    </w:p>
    <w:p>
      <w:pPr>
        <w:pStyle w:val="ListParagraph"/>
        <w:numPr>
          <w:ilvl w:val="0"/>
          <w:numId w:val="1"/>
        </w:numPr>
        <w:jc w:val="both"/>
        <w:rPr/>
      </w:pPr>
      <w:r>
        <w:rPr/>
        <w:t>bison 3.0.4</w:t>
      </w:r>
    </w:p>
    <w:p>
      <w:pPr>
        <w:pStyle w:val="ListParagraph"/>
        <w:numPr>
          <w:ilvl w:val="0"/>
          <w:numId w:val="1"/>
        </w:numPr>
        <w:jc w:val="both"/>
        <w:rPr/>
      </w:pPr>
      <w:r>
        <w:rPr/>
        <w:t>flex 2.6.4</w:t>
      </w:r>
    </w:p>
    <w:p>
      <w:pPr>
        <w:pStyle w:val="ListParagraph"/>
        <w:numPr>
          <w:ilvl w:val="0"/>
          <w:numId w:val="1"/>
        </w:numPr>
        <w:jc w:val="both"/>
        <w:rPr/>
      </w:pPr>
      <w:r>
        <w:rPr/>
        <w:t>blas 3.7.1</w:t>
      </w:r>
    </w:p>
    <w:p>
      <w:pPr>
        <w:pStyle w:val="Normal"/>
        <w:jc w:val="both"/>
        <w:rPr/>
      </w:pPr>
      <w:r>
        <w:rPr/>
        <w:t>Make sure that these tools are installed on your system before compiling and that the corresponding variables in makefile.def point to the respective binary file. Newer versions should be supported as well, unless backward compatibility issues have been introduced in those packages.</w:t>
      </w:r>
    </w:p>
    <w:p>
      <w:pPr>
        <w:pStyle w:val="Normal"/>
        <w:jc w:val="both"/>
        <w:rPr/>
      </w:pPr>
      <w:r>
        <w:rPr/>
        <w:t xml:space="preserve">Additionally, the C shell is required to </w:t>
      </w:r>
      <w:r>
        <w:rPr>
          <w:rFonts w:eastAsia="Calibri" w:cs="" w:cstheme="minorBidi" w:eastAsiaTheme="minorHAnsi"/>
          <w:color w:val="00000A"/>
          <w:kern w:val="0"/>
          <w:sz w:val="22"/>
          <w:szCs w:val="22"/>
          <w:lang w:val="en-US" w:eastAsia="en-US" w:bidi="ar-SA"/>
        </w:rPr>
        <w:t>build the SuperLU library</w:t>
      </w:r>
      <w:r>
        <w:rPr/>
        <w:t>.</w:t>
      </w:r>
    </w:p>
    <w:p>
      <w:pPr>
        <w:pStyle w:val="Normal"/>
        <w:jc w:val="both"/>
        <w:rPr/>
      </w:pPr>
      <w:r>
        <w:rPr/>
        <w:t>On debian-based (e.g: Ubuntu) you can install them by typing:</w:t>
      </w:r>
    </w:p>
    <w:p>
      <w:pPr>
        <w:pStyle w:val="Normal"/>
        <w:ind w:left="720" w:hanging="0"/>
        <w:jc w:val="both"/>
        <w:rPr/>
      </w:pPr>
      <w:r>
        <w:rPr>
          <w:rFonts w:cs="Courier New" w:ascii="Courier New" w:hAnsi="Courier New"/>
          <w:sz w:val="18"/>
        </w:rPr>
        <w:t>$ sudo apt install build-essential bison flex libblas-dev csh</w:t>
      </w:r>
    </w:p>
    <w:p>
      <w:pPr>
        <w:pStyle w:val="Normal"/>
        <w:jc w:val="both"/>
        <w:rPr/>
      </w:pPr>
      <w:r>
        <w:rPr/>
        <w:t>You can then extract the 3D-ICE sources with:</w:t>
      </w:r>
    </w:p>
    <w:p>
      <w:pPr>
        <w:pStyle w:val="Normal"/>
        <w:ind w:left="720" w:hanging="0"/>
        <w:jc w:val="both"/>
        <w:rPr/>
      </w:pPr>
      <w:r>
        <w:rPr>
          <w:rFonts w:cs="Courier New" w:ascii="Courier New" w:hAnsi="Courier New"/>
          <w:sz w:val="18"/>
        </w:rPr>
        <w:t>$ unzip 3d-ice-</w:t>
      </w:r>
      <w:r>
        <w:rPr>
          <w:rFonts w:eastAsia="Calibri" w:cs="Courier New" w:ascii="Courier New" w:hAnsi="Courier New" w:eastAsiaTheme="minorHAnsi"/>
          <w:color w:val="00000A"/>
          <w:kern w:val="0"/>
          <w:sz w:val="18"/>
          <w:szCs w:val="22"/>
          <w:lang w:val="en-US" w:eastAsia="en-US" w:bidi="ar-SA"/>
        </w:rPr>
        <w:t>&lt;version&gt;</w:t>
      </w:r>
      <w:r>
        <w:rPr>
          <w:rFonts w:cs="Courier New" w:ascii="Courier New" w:hAnsi="Courier New"/>
          <w:sz w:val="18"/>
        </w:rPr>
        <w:t>.zip</w:t>
      </w:r>
    </w:p>
    <w:p>
      <w:pPr>
        <w:pStyle w:val="Normal"/>
        <w:ind w:left="720" w:hanging="0"/>
        <w:jc w:val="both"/>
        <w:rPr/>
      </w:pPr>
      <w:r>
        <w:rPr>
          <w:rFonts w:cs="Courier New" w:ascii="Courier New" w:hAnsi="Courier New"/>
          <w:sz w:val="18"/>
        </w:rPr>
        <w:t>$ cd 3D-ICE</w:t>
      </w:r>
    </w:p>
    <w:p>
      <w:pPr>
        <w:pStyle w:val="Heading2"/>
        <w:numPr>
          <w:ilvl w:val="0"/>
          <w:numId w:val="3"/>
        </w:numPr>
        <w:rPr/>
      </w:pPr>
      <w:bookmarkStart w:id="54" w:name="__RefHeading___Toc2941_2393532176"/>
      <w:bookmarkStart w:id="55" w:name="_Toc442446433"/>
      <w:bookmarkEnd w:id="54"/>
      <w:bookmarkEnd w:id="55"/>
      <w:r>
        <w:rPr/>
        <w:t>Compile SuperLU</w:t>
      </w:r>
    </w:p>
    <w:p>
      <w:pPr>
        <w:pStyle w:val="Normal"/>
        <w:jc w:val="both"/>
        <w:rPr/>
      </w:pPr>
      <w:r>
        <w:rPr/>
        <w:t>To use 3D-ICE, you must also download and compile the SuperLU 4.3 library [4].</w:t>
      </w:r>
    </w:p>
    <w:p>
      <w:pPr>
        <w:pStyle w:val="Normal"/>
        <w:jc w:val="both"/>
        <w:rPr/>
      </w:pPr>
      <w:r>
        <w:rPr/>
        <w:t>A convenience script is provided, you can run it by executing the following command:</w:t>
      </w:r>
    </w:p>
    <w:p>
      <w:pPr>
        <w:pStyle w:val="Normal"/>
        <w:ind w:left="720" w:hanging="0"/>
        <w:jc w:val="both"/>
        <w:rPr/>
      </w:pPr>
      <w:r>
        <w:rPr>
          <w:rFonts w:cs="Courier New" w:ascii="Courier New" w:hAnsi="Courier New"/>
          <w:sz w:val="18"/>
        </w:rPr>
        <w:t>$ ./install-superlu.sh</w:t>
      </w:r>
    </w:p>
    <w:p>
      <w:pPr>
        <w:pStyle w:val="Normal"/>
        <w:ind w:left="720" w:hanging="0"/>
        <w:jc w:val="both"/>
        <w:rPr>
          <w:rFonts w:ascii="Courier New" w:hAnsi="Courier New" w:cs="Calibri" w:cstheme="minorHAnsi"/>
          <w:sz w:val="18"/>
        </w:rPr>
      </w:pPr>
      <w:r>
        <w:rPr>
          <w:rFonts w:cs="Calibri" w:cstheme="minorHAnsi" w:ascii="Courier New" w:hAnsi="Courier New"/>
          <w:sz w:val="18"/>
        </w:rPr>
      </w:r>
    </w:p>
    <w:p>
      <w:pPr>
        <w:pStyle w:val="Heading2"/>
        <w:numPr>
          <w:ilvl w:val="0"/>
          <w:numId w:val="3"/>
        </w:numPr>
        <w:rPr/>
      </w:pPr>
      <w:bookmarkStart w:id="56" w:name="__RefHeading___Toc2943_2393532176"/>
      <w:bookmarkStart w:id="57" w:name="_Toc442446434"/>
      <w:bookmarkEnd w:id="56"/>
      <w:bookmarkEnd w:id="57"/>
      <w:r>
        <w:rPr/>
        <w:t>Compile 3D-ICE</w:t>
      </w:r>
    </w:p>
    <w:p>
      <w:pPr>
        <w:pStyle w:val="Normal"/>
        <w:jc w:val="both"/>
        <w:rPr/>
      </w:pPr>
      <w:r>
        <w:rPr/>
        <w:t xml:space="preserve">Check and edit the </w:t>
      </w:r>
      <w:r>
        <w:rPr>
          <w:rFonts w:cs="Courier New" w:ascii="Courier New" w:hAnsi="Courier New"/>
          <w:sz w:val="18"/>
        </w:rPr>
        <w:t>SLU_VERSION</w:t>
      </w:r>
      <w:r>
        <w:rPr>
          <w:rFonts w:cs="Calibri" w:cstheme="minorHAnsi"/>
        </w:rPr>
        <w:t xml:space="preserve"> and </w:t>
      </w:r>
      <w:r>
        <w:rPr>
          <w:rFonts w:cs="Courier New" w:ascii="Courier New" w:hAnsi="Courier New"/>
          <w:sz w:val="18"/>
        </w:rPr>
        <w:t>SLU_MAIN</w:t>
      </w:r>
      <w:r>
        <w:rPr/>
        <w:t xml:space="preserve"> variables in </w:t>
      </w:r>
      <w:r>
        <w:rPr>
          <w:rFonts w:cs="Courier New" w:ascii="Courier New" w:hAnsi="Courier New"/>
          <w:sz w:val="18"/>
        </w:rPr>
        <w:t>./makefile.def</w:t>
      </w:r>
      <w:r>
        <w:rPr/>
        <w:t xml:space="preserve"> to make it point to the main folder of SuperLU. Next, select the value of </w:t>
      </w:r>
      <w:r>
        <w:rPr>
          <w:rFonts w:cs="Courier New" w:ascii="Courier New" w:hAnsi="Courier New"/>
          <w:sz w:val="18"/>
        </w:rPr>
        <w:t>SLU_LIBS</w:t>
      </w:r>
      <w:r>
        <w:rPr/>
        <w:t xml:space="preserve"> according to the choice done above when compiling SuperLU (</w:t>
      </w:r>
      <w:r>
        <w:rPr>
          <w:u w:val="single"/>
        </w:rPr>
        <w:t>if you used the convenience script above, this should be already set up for you</w:t>
      </w:r>
      <w:r>
        <w:rPr/>
        <w:t>).</w:t>
      </w:r>
    </w:p>
    <w:p>
      <w:pPr>
        <w:pStyle w:val="Normal"/>
        <w:jc w:val="both"/>
        <w:rPr/>
      </w:pPr>
      <w:r>
        <w:rPr/>
        <w:t>You can then compile the 3D-ICE sources with:</w:t>
      </w:r>
    </w:p>
    <w:p>
      <w:pPr>
        <w:pStyle w:val="Normal"/>
        <w:ind w:left="720" w:hanging="0"/>
        <w:jc w:val="both"/>
        <w:rPr>
          <w:rFonts w:ascii="Courier New" w:hAnsi="Courier New" w:cs="Courier New"/>
          <w:sz w:val="18"/>
        </w:rPr>
      </w:pPr>
      <w:r>
        <w:rPr>
          <w:rFonts w:cs="Courier New" w:ascii="Courier New" w:hAnsi="Courier New"/>
          <w:sz w:val="18"/>
        </w:rPr>
        <w:t>$ make</w:t>
      </w:r>
    </w:p>
    <w:p>
      <w:pPr>
        <w:pStyle w:val="Normal"/>
        <w:jc w:val="both"/>
        <w:rPr/>
      </w:pPr>
      <w:r>
        <w:rPr/>
        <w:t>Now you can find the executable</w:t>
      </w:r>
      <w:r>
        <w:rPr>
          <w:rFonts w:cs="Courier New" w:ascii="Courier New" w:hAnsi="Courier New"/>
          <w:sz w:val="18"/>
        </w:rPr>
        <w:t xml:space="preserve"> 3D-ICE-Emulator</w:t>
      </w:r>
      <w:r>
        <w:rPr/>
        <w:t xml:space="preserve"> in the </w:t>
      </w:r>
      <w:r>
        <w:rPr>
          <w:rFonts w:cs="Courier New" w:ascii="Courier New" w:hAnsi="Courier New"/>
          <w:sz w:val="18"/>
        </w:rPr>
        <w:t>3d-ice/bin/</w:t>
      </w:r>
      <w:r>
        <w:rPr/>
        <w:t xml:space="preserve"> folder:this binary file will serve as the thermal simulator application for all your 3D-ICE projects. The </w:t>
      </w:r>
      <w:r>
        <w:rPr>
          <w:rFonts w:cs="Courier New" w:ascii="Courier New" w:hAnsi="Courier New"/>
          <w:sz w:val="18"/>
        </w:rPr>
        <w:t>bin</w:t>
      </w:r>
      <w:r>
        <w:rPr/>
        <w:t xml:space="preserve"> folder will also contain two other binaries </w:t>
      </w:r>
      <w:r>
        <w:rPr>
          <w:rFonts w:cs="Courier New" w:ascii="Courier New" w:hAnsi="Courier New"/>
          <w:sz w:val="18"/>
        </w:rPr>
        <w:t>3D-ICE-Server</w:t>
      </w:r>
      <w:r>
        <w:rPr/>
        <w:t xml:space="preserve"> and </w:t>
      </w:r>
      <w:r>
        <w:rPr>
          <w:rFonts w:cs="Courier New" w:ascii="Courier New" w:hAnsi="Courier New"/>
          <w:sz w:val="18"/>
        </w:rPr>
        <w:t>3D-ICE-Client:</w:t>
      </w:r>
      <w:r>
        <w:rPr/>
        <w:t xml:space="preserve"> these two executable will serve as example of an implementation of the network interface to execute a remote client/server thermal simulation.</w:t>
      </w:r>
    </w:p>
    <w:p>
      <w:pPr>
        <w:pStyle w:val="Heading2"/>
        <w:numPr>
          <w:ilvl w:val="0"/>
          <w:numId w:val="3"/>
        </w:numPr>
        <w:rPr/>
      </w:pPr>
      <w:bookmarkStart w:id="58" w:name="__RefHeading___Toc2945_2393532176"/>
      <w:bookmarkEnd w:id="58"/>
      <w:r>
        <w:rPr/>
        <w:t>Pluggable heat sink and co-simulation interface</w:t>
      </w:r>
    </w:p>
    <w:p>
      <w:pPr>
        <w:pStyle w:val="Normal"/>
        <w:rPr/>
      </w:pPr>
      <w:r>
        <w:rPr/>
        <w:t>To use the pluggable heat sink feature, you also need the following depedencies:</w:t>
      </w:r>
    </w:p>
    <w:p>
      <w:pPr>
        <w:pStyle w:val="ListParagraph"/>
        <w:numPr>
          <w:ilvl w:val="0"/>
          <w:numId w:val="1"/>
        </w:numPr>
        <w:jc w:val="both"/>
        <w:rPr/>
      </w:pPr>
      <w:r>
        <w:rPr>
          <w:b/>
          <w:bCs/>
          <w:color w:val="000000"/>
          <w:highlight w:val="white"/>
        </w:rPr>
        <w:t>OpenModelica 1.16.0</w:t>
      </w:r>
      <w:r>
        <w:rPr>
          <w:color w:val="000000"/>
          <w:highlight w:val="white"/>
        </w:rPr>
        <w:t xml:space="preserve"> or greater (install guide at </w:t>
      </w:r>
      <w:hyperlink r:id="rId9">
        <w:r>
          <w:rPr>
            <w:rStyle w:val="InternetLink"/>
            <w:color w:val="000000"/>
            <w:highlight w:val="white"/>
          </w:rPr>
          <w:t>https://www.openmodelica.org</w:t>
        </w:r>
      </w:hyperlink>
      <w:r>
        <w:rPr>
          <w:color w:val="000000"/>
          <w:highlight w:val="white"/>
        </w:rPr>
        <w:t>)</w:t>
      </w:r>
    </w:p>
    <w:p>
      <w:pPr>
        <w:pStyle w:val="ListParagraph"/>
        <w:numPr>
          <w:ilvl w:val="1"/>
          <w:numId w:val="1"/>
        </w:numPr>
        <w:jc w:val="both"/>
        <w:rPr>
          <w:u w:val="single"/>
        </w:rPr>
      </w:pPr>
      <w:r>
        <w:rPr>
          <w:color w:val="000000"/>
          <w:highlight w:val="white"/>
          <w:u w:val="single"/>
        </w:rPr>
        <w:t>Do not install any version earlier than 1.16.0</w:t>
      </w:r>
    </w:p>
    <w:p>
      <w:pPr>
        <w:pStyle w:val="ListParagraph"/>
        <w:numPr>
          <w:ilvl w:val="0"/>
          <w:numId w:val="1"/>
        </w:numPr>
        <w:jc w:val="both"/>
        <w:rPr/>
      </w:pPr>
      <w:r>
        <w:rPr/>
        <w:t>Pugixml 1.8.1 or greater (</w:t>
      </w:r>
      <w:r>
        <w:rPr>
          <w:rFonts w:ascii="Courier new" w:hAnsi="Courier new"/>
          <w:sz w:val="18"/>
          <w:szCs w:val="18"/>
        </w:rPr>
        <w:t>sudo apt install libpugixml-dev</w:t>
      </w:r>
      <w:r>
        <w:rPr/>
        <w:t>)</w:t>
      </w:r>
    </w:p>
    <w:p>
      <w:pPr>
        <w:pStyle w:val="ListParagraph"/>
        <w:numPr>
          <w:ilvl w:val="0"/>
          <w:numId w:val="1"/>
        </w:numPr>
        <w:jc w:val="both"/>
        <w:rPr/>
      </w:pPr>
      <w:r>
        <w:rPr/>
        <w:t>Python 3 header files (</w:t>
      </w:r>
      <w:r>
        <w:rPr>
          <w:rFonts w:ascii="Courier new" w:hAnsi="Courier new"/>
          <w:sz w:val="18"/>
          <w:szCs w:val="18"/>
        </w:rPr>
        <w:t>sudo apt install python3-dev</w:t>
      </w:r>
      <w:r>
        <w:rPr/>
        <w:t>)</w:t>
      </w:r>
    </w:p>
    <w:p>
      <w:pPr>
        <w:pStyle w:val="ListParagraph"/>
        <w:numPr>
          <w:ilvl w:val="0"/>
          <w:numId w:val="1"/>
        </w:numPr>
        <w:jc w:val="both"/>
        <w:rPr/>
      </w:pPr>
      <w:r>
        <w:rPr/>
        <w:t>Pkg-config (</w:t>
      </w:r>
      <w:r>
        <w:rPr>
          <w:rFonts w:ascii="Courier new" w:hAnsi="Courier new"/>
          <w:sz w:val="18"/>
          <w:szCs w:val="18"/>
        </w:rPr>
        <w:t>sudo apt install p</w:t>
      </w:r>
      <w:r>
        <w:rPr>
          <w:rFonts w:eastAsia="Calibri" w:cs="" w:ascii="Courier new" w:hAnsi="Courier new" w:cstheme="minorBidi" w:eastAsiaTheme="minorHAnsi"/>
          <w:color w:val="00000A"/>
          <w:kern w:val="0"/>
          <w:sz w:val="18"/>
          <w:szCs w:val="18"/>
          <w:lang w:val="en-US" w:eastAsia="en-US" w:bidi="ar-SA"/>
        </w:rPr>
        <w:t>kg-config</w:t>
      </w:r>
      <w:r>
        <w:rPr/>
        <w:t>)</w:t>
      </w:r>
    </w:p>
    <w:p>
      <w:pPr>
        <w:pStyle w:val="ListParagraph"/>
        <w:numPr>
          <w:ilvl w:val="0"/>
          <w:numId w:val="0"/>
        </w:numPr>
        <w:ind w:left="1440" w:hanging="0"/>
        <w:jc w:val="both"/>
        <w:rPr/>
      </w:pPr>
      <w:r>
        <w:rPr/>
      </w:r>
    </w:p>
    <w:p>
      <w:pPr>
        <w:pStyle w:val="ListParagraph"/>
        <w:numPr>
          <w:ilvl w:val="0"/>
          <w:numId w:val="0"/>
        </w:numPr>
        <w:ind w:left="720" w:hanging="0"/>
        <w:jc w:val="both"/>
        <w:rPr/>
      </w:pPr>
      <w:r>
        <w:rPr/>
        <w:t>You can then compile the 3D-ICE Plugin sources with:</w:t>
      </w:r>
    </w:p>
    <w:p>
      <w:pPr>
        <w:pStyle w:val="Normal"/>
        <w:numPr>
          <w:ilvl w:val="0"/>
          <w:numId w:val="0"/>
        </w:numPr>
        <w:ind w:left="720" w:hanging="0"/>
        <w:jc w:val="both"/>
        <w:rPr/>
      </w:pPr>
      <w:bookmarkStart w:id="59" w:name="__DdeLink__2812_1512499319"/>
      <w:r>
        <w:rPr>
          <w:rFonts w:cs="Courier New" w:ascii="Courier New" w:hAnsi="Courier New"/>
          <w:sz w:val="18"/>
        </w:rPr>
        <w:t>$ make plugin</w:t>
      </w:r>
      <w:bookmarkEnd w:id="59"/>
    </w:p>
    <w:p>
      <w:pPr>
        <w:pStyle w:val="Heading2"/>
        <w:numPr>
          <w:ilvl w:val="0"/>
          <w:numId w:val="3"/>
        </w:numPr>
        <w:rPr/>
      </w:pPr>
      <w:bookmarkStart w:id="60" w:name="__RefHeading___Toc2947_2393532176"/>
      <w:bookmarkEnd w:id="60"/>
      <w:r>
        <w:rPr/>
        <w:t>Testing installation</w:t>
      </w:r>
    </w:p>
    <w:p>
      <w:pPr>
        <w:pStyle w:val="ListParagraph"/>
        <w:numPr>
          <w:ilvl w:val="0"/>
          <w:numId w:val="0"/>
        </w:numPr>
        <w:ind w:left="360" w:hanging="0"/>
        <w:jc w:val="both"/>
        <w:rPr/>
      </w:pPr>
      <w:r>
        <w:rPr/>
        <w:t>You can then test the 3D-ICE installation with:</w:t>
      </w:r>
    </w:p>
    <w:p>
      <w:pPr>
        <w:pStyle w:val="Normal"/>
        <w:numPr>
          <w:ilvl w:val="0"/>
          <w:numId w:val="0"/>
        </w:numPr>
        <w:ind w:left="360" w:hanging="0"/>
        <w:jc w:val="both"/>
        <w:rPr/>
      </w:pPr>
      <w:r>
        <w:rPr>
          <w:rFonts w:cs="Courier New" w:ascii="Courier New" w:hAnsi="Courier New"/>
          <w:sz w:val="18"/>
        </w:rPr>
        <w:t>$ make test</w:t>
      </w:r>
    </w:p>
    <w:p>
      <w:pPr>
        <w:pStyle w:val="Normal"/>
        <w:jc w:val="both"/>
        <w:rPr>
          <w:rFonts w:ascii="Courier New" w:hAnsi="Courier New" w:cs="Courier New"/>
          <w:sz w:val="18"/>
        </w:rPr>
      </w:pPr>
      <w:r>
        <w:rPr>
          <w:rFonts w:cs="Courier New" w:ascii="Courier New" w:hAnsi="Courier New"/>
          <w:sz w:val="18"/>
        </w:rPr>
      </w:r>
    </w:p>
    <w:p>
      <w:pPr>
        <w:pStyle w:val="Normal"/>
        <w:jc w:val="both"/>
        <w:rPr>
          <w:rFonts w:ascii="Courier New" w:hAnsi="Courier New" w:cs="Courier New"/>
          <w:sz w:val="18"/>
        </w:rPr>
      </w:pPr>
      <w:r>
        <w:rPr>
          <w:rFonts w:cs="Courier New" w:ascii="Courier New" w:hAnsi="Courier New"/>
          <w:sz w:val="18"/>
        </w:rPr>
      </w:r>
      <w:r>
        <w:br w:type="page"/>
      </w:r>
    </w:p>
    <w:p>
      <w:pPr>
        <w:pStyle w:val="Heading1"/>
        <w:numPr>
          <w:ilvl w:val="0"/>
          <w:numId w:val="2"/>
        </w:numPr>
        <w:rPr/>
      </w:pPr>
      <w:bookmarkStart w:id="61" w:name="__RefHeading___Toc2949_2393532176"/>
      <w:bookmarkStart w:id="62" w:name="_Toc442446435"/>
      <w:bookmarkEnd w:id="61"/>
      <w:bookmarkEnd w:id="62"/>
      <w:r>
        <w:rPr/>
        <w:t>Overview of 3D-ICE</w:t>
      </w:r>
    </w:p>
    <w:p>
      <w:pPr>
        <w:pStyle w:val="Normal"/>
        <w:jc w:val="both"/>
        <w:rPr/>
      </w:pPr>
      <w:r>
        <w:rPr/>
        <w:t>This chapter provides a general overview of 3D-ICE: its operating principle, the input files required and the conventions and terminology used in writing these input files. In the next chapter, these input files are discussed in detail.</w:t>
      </w:r>
    </w:p>
    <w:p>
      <w:pPr>
        <w:pStyle w:val="Heading2"/>
        <w:numPr>
          <w:ilvl w:val="0"/>
          <w:numId w:val="18"/>
        </w:numPr>
        <w:rPr/>
      </w:pPr>
      <w:bookmarkStart w:id="63" w:name="__RefHeading___Toc2951_2393532176"/>
      <w:bookmarkStart w:id="64" w:name="_Toc442446436"/>
      <w:bookmarkEnd w:id="63"/>
      <w:bookmarkEnd w:id="64"/>
      <w:r>
        <w:rPr/>
        <w:t>Principle of thermal simulation</w:t>
      </w:r>
    </w:p>
    <w:p>
      <w:pPr>
        <w:pStyle w:val="Normal"/>
        <w:jc w:val="both"/>
        <w:rPr/>
      </w:pPr>
      <w:r>
        <w:rPr/>
        <w:t xml:space="preserve">3D-ICE is based on the compact modeling of heat flow in solids and liquids applied to a 3D-IC structure with microchannel cooling. As quick recap, the structure is divided into cuboidal </w:t>
      </w:r>
      <w:r>
        <w:rPr>
          <w:i/>
        </w:rPr>
        <w:t>thermal cells</w:t>
      </w:r>
      <w:r>
        <w:rPr/>
        <w:t xml:space="preserve"> based on the discretization parameters you provide. Next, thermal conductance for heat flow through each face of the cuboid is calculated and connected to the neighboring cells at these faces. Also, a capacitance representing the heat capacity of the cell is calculated. Hence, an equivalent electrical RC circuit is created where the temperatures are represented by voltages and the heat flow is represented by the currents in the circuit. A typical thermal cell representing transient conduction in solids is shown below:</w:t>
      </w:r>
    </w:p>
    <w:p>
      <w:pPr>
        <w:pStyle w:val="Normal"/>
        <w:keepNext w:val="true"/>
        <w:jc w:val="center"/>
        <w:rPr/>
      </w:pPr>
      <w:r>
        <w:rPr/>
        <w:drawing>
          <wp:inline distT="0" distB="0" distL="0" distR="0">
            <wp:extent cx="4151630" cy="1508760"/>
            <wp:effectExtent l="0" t="0" r="0" b="0"/>
            <wp:docPr id="7"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
                    <pic:cNvPicPr>
                      <a:picLocks noChangeAspect="1" noChangeArrowheads="1"/>
                    </pic:cNvPicPr>
                  </pic:nvPicPr>
                  <pic:blipFill>
                    <a:blip r:embed="rId10"/>
                    <a:stretch>
                      <a:fillRect/>
                    </a:stretch>
                  </pic:blipFill>
                  <pic:spPr bwMode="auto">
                    <a:xfrm>
                      <a:off x="0" y="0"/>
                      <a:ext cx="4151630" cy="1508760"/>
                    </a:xfrm>
                    <a:prstGeom prst="rect">
                      <a:avLst/>
                    </a:prstGeom>
                  </pic:spPr>
                </pic:pic>
              </a:graphicData>
            </a:graphic>
          </wp:inline>
        </w:drawing>
      </w:r>
    </w:p>
    <w:p>
      <w:pPr>
        <w:pStyle w:val="Caption1"/>
        <w:jc w:val="center"/>
        <w:rPr/>
      </w:pPr>
      <w:r>
        <w:rPr>
          <w:color w:val="00000A"/>
        </w:rPr>
        <w:t xml:space="preserve">Figure </w:t>
      </w:r>
      <w:r>
        <w:rPr/>
        <w:fldChar w:fldCharType="begin"/>
      </w:r>
      <w:r>
        <w:rPr/>
        <w:instrText> SEQ Figure \* ARABIC </w:instrText>
      </w:r>
      <w:r>
        <w:rPr/>
        <w:fldChar w:fldCharType="separate"/>
      </w:r>
      <w:r>
        <w:rPr/>
        <w:t>1</w:t>
      </w:r>
      <w:r>
        <w:rPr/>
        <w:fldChar w:fldCharType="end"/>
      </w:r>
      <w:r>
        <w:rPr>
          <w:color w:val="00000A"/>
        </w:rPr>
        <w:t>: A typical solid thermal cell</w:t>
      </w:r>
    </w:p>
    <w:p>
      <w:pPr>
        <w:pStyle w:val="Normal"/>
        <w:jc w:val="both"/>
        <w:rPr/>
      </w:pPr>
      <w:r>
        <w:rPr/>
        <w:t>In the case of thermal cells representing microchannels or fluidic cavities, while the heat transferred from the cavity walls into the fluid is represented using conventional thermal resistances (or conductances), the convective heat transport in the downstream direction due to mass flow is represented using voltage controlled current sources. There are four different interlayer cooling cavity models implemented in 3D-ICE.</w:t>
      </w:r>
    </w:p>
    <w:p>
      <w:pPr>
        <w:pStyle w:val="Heading3"/>
        <w:numPr>
          <w:ilvl w:val="0"/>
          <w:numId w:val="21"/>
        </w:numPr>
        <w:ind w:left="284" w:hanging="142"/>
        <w:rPr/>
      </w:pPr>
      <w:bookmarkStart w:id="65" w:name="__RefHeading___Toc2953_2393532176"/>
      <w:bookmarkStart w:id="66" w:name="_Toc442446437"/>
      <w:bookmarkEnd w:id="65"/>
      <w:bookmarkEnd w:id="66"/>
      <w:r>
        <w:rPr/>
        <w:t>Microchannel 4-resistor model</w:t>
      </w:r>
    </w:p>
    <w:p>
      <w:pPr>
        <w:pStyle w:val="Normal"/>
        <w:ind w:left="142" w:hanging="0"/>
        <w:jc w:val="both"/>
        <w:rPr/>
      </w:pPr>
      <w:r>
        <w:rPr/>
        <w:t>This is the model, which was available in 3D-ICE 1.0, is based on the 4RM-CTTM model described in [1]. Here, the thermal cells are constructed such that in the cavity layer, 2 faces of the thermal cells corresponding to the microchannel completely cover the entire cross-section of the microchannel as shown in Fig. 2. Hence, the discretization along the direction perpendicular to the channels is fixed by the channel geometry. There are four resistances one for each wall of the microchannel representing convective cooling of the wall surfaces. They can be coupled with solid thermal cells on all four directions as shown in Fig. 2. The convective resistance in the top, bottom and the sides can be provided independently into the simulator.</w:t>
      </w:r>
    </w:p>
    <w:p>
      <w:pPr>
        <w:pStyle w:val="Normal"/>
        <w:keepNext w:val="true"/>
        <w:ind w:left="142" w:hanging="0"/>
        <w:jc w:val="center"/>
        <w:rPr/>
      </w:pPr>
      <w:r>
        <w:rPr/>
        <w:drawing>
          <wp:inline distT="0" distB="0" distL="0" distR="0">
            <wp:extent cx="4257675" cy="1183640"/>
            <wp:effectExtent l="0" t="0" r="0" b="0"/>
            <wp:docPr id="8" name="Picture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5" descr=""/>
                    <pic:cNvPicPr>
                      <a:picLocks noChangeAspect="1" noChangeArrowheads="1"/>
                    </pic:cNvPicPr>
                  </pic:nvPicPr>
                  <pic:blipFill>
                    <a:blip r:embed="rId11"/>
                    <a:stretch>
                      <a:fillRect/>
                    </a:stretch>
                  </pic:blipFill>
                  <pic:spPr bwMode="auto">
                    <a:xfrm>
                      <a:off x="0" y="0"/>
                      <a:ext cx="4257675" cy="1183640"/>
                    </a:xfrm>
                    <a:prstGeom prst="rect">
                      <a:avLst/>
                    </a:prstGeom>
                  </pic:spPr>
                </pic:pic>
              </a:graphicData>
            </a:graphic>
          </wp:inline>
        </w:drawing>
      </w:r>
    </w:p>
    <w:p>
      <w:pPr>
        <w:pStyle w:val="Caption1"/>
        <w:jc w:val="center"/>
        <w:rPr/>
      </w:pPr>
      <w:r>
        <w:rPr/>
        <w:t xml:space="preserve">Figure </w:t>
      </w:r>
      <w:r>
        <w:rPr/>
        <w:fldChar w:fldCharType="begin"/>
      </w:r>
      <w:r>
        <w:rPr/>
        <w:instrText> SEQ Figure \* ARABIC </w:instrText>
      </w:r>
      <w:r>
        <w:rPr/>
        <w:fldChar w:fldCharType="separate"/>
      </w:r>
      <w:r>
        <w:rPr/>
        <w:t>2</w:t>
      </w:r>
      <w:r>
        <w:rPr/>
        <w:fldChar w:fldCharType="end"/>
      </w:r>
      <w:r>
        <w:rPr/>
        <w:t>: A mc4rm fluid thermal cell adjacent to two solid thermal cells</w:t>
      </w:r>
    </w:p>
    <w:p>
      <w:pPr>
        <w:pStyle w:val="Heading3"/>
        <w:numPr>
          <w:ilvl w:val="0"/>
          <w:numId w:val="21"/>
        </w:numPr>
        <w:ind w:left="284" w:hanging="142"/>
        <w:rPr/>
      </w:pPr>
      <w:bookmarkStart w:id="67" w:name="__RefHeading___Toc2955_2393532176"/>
      <w:bookmarkStart w:id="68" w:name="_Toc442446438"/>
      <w:bookmarkEnd w:id="67"/>
      <w:bookmarkEnd w:id="68"/>
      <w:r>
        <w:rPr/>
        <w:t>Microchannel 2-resistor model</w:t>
      </w:r>
    </w:p>
    <w:p>
      <w:pPr>
        <w:pStyle w:val="Normal"/>
        <w:ind w:left="142" w:hanging="0"/>
        <w:jc w:val="both"/>
        <w:rPr/>
      </w:pPr>
      <w:r>
        <w:rPr/>
        <w:t>This new model for microchannel cavities is based on the 2RM-CTTM model presented in [2]. Here, the dependence of discretization on the channel geometry is completely removed, by homogenizing the entire cavity layer into a single “porous” material. Hence, each cell consists of circuit parameters corresponding to both the flowing coolant as well as the solid walls as shown in Fig. 3. The thermal cell here is two-dimensional because of the elimination of convective resistances on the sides. This model lets the user completely control the granularity of the model by making the thermal cell dimensions (in the x-direction) completely independent of the channel dimensions. Also, when using this model, the top and bottom heat transfer coefficients to be provided in the input files of 3D-ICE must be a projected average of the heat transfer coefficients between the side walls, and the top and bottom walls respectively. For more information about constructing this model, refer to [2].</w:t>
      </w:r>
    </w:p>
    <w:p>
      <w:pPr>
        <w:pStyle w:val="Normal"/>
        <w:keepNext w:val="true"/>
        <w:ind w:left="142" w:hanging="0"/>
        <w:rPr/>
      </w:pPr>
      <w:r>
        <w:drawing>
          <wp:anchor behindDoc="0" distT="0" distB="4445" distL="114300" distR="114300" simplePos="0" locked="0" layoutInCell="0" allowOverlap="1" relativeHeight="47">
            <wp:simplePos x="0" y="0"/>
            <wp:positionH relativeFrom="column">
              <wp:posOffset>2545715</wp:posOffset>
            </wp:positionH>
            <wp:positionV relativeFrom="paragraph">
              <wp:posOffset>635</wp:posOffset>
            </wp:positionV>
            <wp:extent cx="2769870" cy="1538605"/>
            <wp:effectExtent l="0" t="0" r="0" b="0"/>
            <wp:wrapSquare wrapText="bothSides"/>
            <wp:docPr id="9"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 descr=""/>
                    <pic:cNvPicPr>
                      <a:picLocks noChangeAspect="1" noChangeArrowheads="1"/>
                    </pic:cNvPicPr>
                  </pic:nvPicPr>
                  <pic:blipFill>
                    <a:blip r:embed="rId12"/>
                    <a:stretch>
                      <a:fillRect/>
                    </a:stretch>
                  </pic:blipFill>
                  <pic:spPr bwMode="auto">
                    <a:xfrm>
                      <a:off x="0" y="0"/>
                      <a:ext cx="2769870" cy="1538605"/>
                    </a:xfrm>
                    <a:prstGeom prst="rect">
                      <a:avLst/>
                    </a:prstGeom>
                  </pic:spPr>
                </pic:pic>
              </a:graphicData>
            </a:graphic>
          </wp:anchor>
        </w:drawing>
      </w:r>
      <w:r>
        <w:rPr/>
        <w:br/>
      </w:r>
    </w:p>
    <w:p>
      <w:pPr>
        <w:pStyle w:val="Caption1"/>
        <w:jc w:val="center"/>
        <w:rPr/>
      </w:pPr>
      <w:r>
        <w:rPr/>
        <w:t xml:space="preserve">Figure </w:t>
      </w:r>
      <w:r>
        <w:rPr/>
        <w:fldChar w:fldCharType="begin"/>
      </w:r>
      <w:r>
        <w:rPr/>
        <w:instrText> SEQ Figure \* ARABIC </w:instrText>
      </w:r>
      <w:r>
        <w:rPr/>
        <w:fldChar w:fldCharType="separate"/>
      </w:r>
      <w:r>
        <w:rPr/>
        <w:t>3</w:t>
      </w:r>
      <w:r>
        <w:rPr/>
        <w:fldChar w:fldCharType="end"/>
      </w:r>
      <w:r>
        <w:rPr/>
        <w:t>: A mc2rm thermal cell</w:t>
      </w:r>
    </w:p>
    <w:p>
      <w:pPr>
        <w:pStyle w:val="Heading3"/>
        <w:numPr>
          <w:ilvl w:val="0"/>
          <w:numId w:val="21"/>
        </w:numPr>
        <w:ind w:left="426" w:hanging="142"/>
        <w:rPr/>
      </w:pPr>
      <w:bookmarkStart w:id="69" w:name="__RefHeading___Toc2957_2393532176"/>
      <w:bookmarkStart w:id="70" w:name="_Toc442446439"/>
      <w:bookmarkEnd w:id="69"/>
      <w:bookmarkEnd w:id="70"/>
      <w:r>
        <w:rPr/>
        <w:t>Pinfins in-line</w:t>
      </w:r>
    </w:p>
    <w:p>
      <w:pPr>
        <w:pStyle w:val="Normal"/>
        <w:ind w:left="142" w:hanging="0"/>
        <w:jc w:val="both"/>
        <w:rPr/>
      </w:pPr>
      <w:r>
        <w:rPr/>
        <w:t>Enhanced heat transfer geometries, such as pin fins can be used in interlayer cooling to improve the heat transfer properties of the liquid-cooled heat sink, when compared to conventional microchannels. Pin fins are also attractive because the can serve as ideal paths for the fabrication of TSVs in 3D ICs. These advantages come at the cost of increased pressure drops. Inline pin fins are one of the two standard types of pin fin HTGs. The top view of such an HTG is shown in Fig. 4.</w:t>
      </w:r>
    </w:p>
    <w:p>
      <w:pPr>
        <w:pStyle w:val="Normal"/>
        <w:keepNext w:val="true"/>
        <w:ind w:left="142" w:hanging="0"/>
        <w:jc w:val="center"/>
        <w:rPr/>
      </w:pPr>
      <w:r>
        <w:rPr/>
        <w:drawing>
          <wp:inline distT="0" distB="0" distL="0" distR="0">
            <wp:extent cx="1170305" cy="1156335"/>
            <wp:effectExtent l="0" t="0" r="0" b="0"/>
            <wp:docPr id="10" name="Picture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2" descr=""/>
                    <pic:cNvPicPr>
                      <a:picLocks noChangeAspect="1" noChangeArrowheads="1"/>
                    </pic:cNvPicPr>
                  </pic:nvPicPr>
                  <pic:blipFill>
                    <a:blip r:embed="rId13"/>
                    <a:stretch>
                      <a:fillRect/>
                    </a:stretch>
                  </pic:blipFill>
                  <pic:spPr bwMode="auto">
                    <a:xfrm>
                      <a:off x="0" y="0"/>
                      <a:ext cx="1170305" cy="1156335"/>
                    </a:xfrm>
                    <a:prstGeom prst="rect">
                      <a:avLst/>
                    </a:prstGeom>
                  </pic:spPr>
                </pic:pic>
              </a:graphicData>
            </a:graphic>
          </wp:inline>
        </w:drawing>
      </w:r>
    </w:p>
    <w:p>
      <w:pPr>
        <w:pStyle w:val="Caption1"/>
        <w:jc w:val="center"/>
        <w:rPr/>
      </w:pPr>
      <w:r>
        <w:rPr/>
        <w:t xml:space="preserve">Figure </w:t>
      </w:r>
      <w:r>
        <w:rPr/>
        <w:fldChar w:fldCharType="begin"/>
      </w:r>
      <w:r>
        <w:rPr/>
        <w:instrText> SEQ Figure \* ARABIC </w:instrText>
      </w:r>
      <w:r>
        <w:rPr/>
        <w:fldChar w:fldCharType="separate"/>
      </w:r>
      <w:r>
        <w:rPr/>
        <w:t>4</w:t>
      </w:r>
      <w:r>
        <w:rPr/>
        <w:fldChar w:fldCharType="end"/>
      </w:r>
      <w:r>
        <w:rPr/>
        <w:t>: Pin fins inline heat transfer geometry</w:t>
      </w:r>
    </w:p>
    <w:p>
      <w:pPr>
        <w:pStyle w:val="Heading3"/>
        <w:numPr>
          <w:ilvl w:val="0"/>
          <w:numId w:val="21"/>
        </w:numPr>
        <w:ind w:left="426" w:hanging="142"/>
        <w:rPr/>
      </w:pPr>
      <w:bookmarkStart w:id="71" w:name="__RefHeading___Toc2959_2393532176"/>
      <w:bookmarkStart w:id="72" w:name="_Toc442446440"/>
      <w:bookmarkEnd w:id="71"/>
      <w:bookmarkEnd w:id="72"/>
      <w:r>
        <w:rPr/>
        <w:t>Pinfins staggered</w:t>
      </w:r>
    </w:p>
    <w:p>
      <w:pPr>
        <w:pStyle w:val="Normal"/>
        <w:ind w:left="142" w:hanging="0"/>
        <w:rPr/>
      </w:pPr>
      <w:r>
        <w:rPr/>
        <w:t>Staggered pin fins (Fig. 5) is another standard type of pin fin heat transfer geometry. For both these pin fin geometries the 2RM-CTTM modeling method is utilized. The corresponding “porous” thermal cell is illustrated in Fig. 6.</w:t>
      </w:r>
    </w:p>
    <w:p>
      <w:pPr>
        <w:pStyle w:val="Normal"/>
        <w:keepNext w:val="true"/>
        <w:ind w:left="142" w:hanging="0"/>
        <w:jc w:val="center"/>
        <w:rPr/>
      </w:pPr>
      <w:r>
        <w:rPr/>
        <w:drawing>
          <wp:inline distT="0" distB="0" distL="0" distR="0">
            <wp:extent cx="1154430" cy="1149985"/>
            <wp:effectExtent l="0" t="0" r="0" b="0"/>
            <wp:docPr id="11" name="Picture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3" descr=""/>
                    <pic:cNvPicPr>
                      <a:picLocks noChangeAspect="1" noChangeArrowheads="1"/>
                    </pic:cNvPicPr>
                  </pic:nvPicPr>
                  <pic:blipFill>
                    <a:blip r:embed="rId14"/>
                    <a:stretch>
                      <a:fillRect/>
                    </a:stretch>
                  </pic:blipFill>
                  <pic:spPr bwMode="auto">
                    <a:xfrm>
                      <a:off x="0" y="0"/>
                      <a:ext cx="1154430" cy="1149985"/>
                    </a:xfrm>
                    <a:prstGeom prst="rect">
                      <a:avLst/>
                    </a:prstGeom>
                  </pic:spPr>
                </pic:pic>
              </a:graphicData>
            </a:graphic>
          </wp:inline>
        </w:drawing>
      </w:r>
    </w:p>
    <w:p>
      <w:pPr>
        <w:pStyle w:val="Caption1"/>
        <w:jc w:val="center"/>
        <w:rPr/>
      </w:pPr>
      <w:r>
        <w:rPr/>
        <w:t xml:space="preserve">Figure </w:t>
      </w:r>
      <w:r>
        <w:rPr/>
        <w:fldChar w:fldCharType="begin"/>
      </w:r>
      <w:r>
        <w:rPr/>
        <w:instrText> SEQ Figure \* ARABIC </w:instrText>
      </w:r>
      <w:r>
        <w:rPr/>
        <w:fldChar w:fldCharType="separate"/>
      </w:r>
      <w:r>
        <w:rPr/>
        <w:t>5</w:t>
      </w:r>
      <w:r>
        <w:rPr/>
        <w:fldChar w:fldCharType="end"/>
      </w:r>
      <w:r>
        <w:rPr/>
        <w:t>: Pin fins staggered heat transfer geometry</w:t>
      </w:r>
    </w:p>
    <w:p>
      <w:pPr>
        <w:pStyle w:val="Normal"/>
        <w:keepNext w:val="true"/>
        <w:ind w:left="142" w:hanging="0"/>
        <w:jc w:val="center"/>
        <w:rPr/>
      </w:pPr>
      <w:r>
        <w:rPr/>
        <w:drawing>
          <wp:inline distT="0" distB="0" distL="0" distR="0">
            <wp:extent cx="2355850" cy="1539240"/>
            <wp:effectExtent l="0" t="0" r="0" b="0"/>
            <wp:docPr id="12" name="Picture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4" descr=""/>
                    <pic:cNvPicPr>
                      <a:picLocks noChangeAspect="1" noChangeArrowheads="1"/>
                    </pic:cNvPicPr>
                  </pic:nvPicPr>
                  <pic:blipFill>
                    <a:blip r:embed="rId15"/>
                    <a:stretch>
                      <a:fillRect/>
                    </a:stretch>
                  </pic:blipFill>
                  <pic:spPr bwMode="auto">
                    <a:xfrm>
                      <a:off x="0" y="0"/>
                      <a:ext cx="2355850" cy="1539240"/>
                    </a:xfrm>
                    <a:prstGeom prst="rect">
                      <a:avLst/>
                    </a:prstGeom>
                  </pic:spPr>
                </pic:pic>
              </a:graphicData>
            </a:graphic>
          </wp:inline>
        </w:drawing>
      </w:r>
    </w:p>
    <w:p>
      <w:pPr>
        <w:pStyle w:val="Caption1"/>
        <w:jc w:val="center"/>
        <w:rPr/>
      </w:pPr>
      <w:r>
        <w:rPr/>
        <w:t xml:space="preserve">Figure </w:t>
      </w:r>
      <w:r>
        <w:rPr/>
        <w:fldChar w:fldCharType="begin"/>
      </w:r>
      <w:r>
        <w:rPr/>
        <w:instrText> SEQ Figure \* ARABIC </w:instrText>
      </w:r>
      <w:r>
        <w:rPr/>
        <w:fldChar w:fldCharType="separate"/>
      </w:r>
      <w:r>
        <w:rPr/>
        <w:t>6</w:t>
      </w:r>
      <w:r>
        <w:rPr/>
        <w:fldChar w:fldCharType="end"/>
      </w:r>
      <w:r>
        <w:rPr/>
        <w:t>: A pin fin thermal cell</w:t>
      </w:r>
    </w:p>
    <w:p>
      <w:pPr>
        <w:pStyle w:val="Normal"/>
        <w:ind w:left="142" w:hanging="0"/>
        <w:jc w:val="both"/>
        <w:rPr/>
      </w:pPr>
      <w:r>
        <w:rPr/>
        <w:t xml:space="preserve">In 3D-ICE, the heat transfer coefficients calculations for two specific test cases have been implemented that uses the darcy velocity of the coolant in the cavity. These computations for the convective resistance are based on empirical studies on these geometries performed in [3] and the resulting formulae (where </w:t>
      </w:r>
      <w:r>
        <w:rPr>
          <w:i/>
        </w:rPr>
        <w:t>v</w:t>
      </w:r>
      <w:r>
        <w:rPr>
          <w:i/>
          <w:vertAlign w:val="subscript"/>
        </w:rPr>
        <w:t>darcy</w:t>
      </w:r>
      <w:r>
        <w:rPr/>
        <w:t xml:space="preserve"> is the darcy velocity in m/s):</w:t>
      </w:r>
    </w:p>
    <w:p>
      <w:pPr>
        <w:pStyle w:val="Normal"/>
        <w:ind w:left="142" w:hanging="0"/>
        <w:jc w:val="center"/>
        <w:rPr/>
      </w:pPr>
      <w:r>
        <w:rPr/>
      </w:r>
      <m:oMathPara xmlns:m="http://schemas.openxmlformats.org/officeDocument/2006/math">
        <m:oMathParaPr>
          <m:jc m:val="center"/>
        </m:oMathParaPr>
        <m:oMath>
          <m:eqArr>
            <m:e>
              <m:sSub>
                <m:e>
                  <m:r>
                    <m:rPr>
                      <m:lit/>
                      <m:nor/>
                    </m:rPr>
                    <w:rPr>
                      <w:rFonts w:ascii="Cambria Math" w:hAnsi="Cambria Math"/>
                    </w:rPr>
                    <m:t xml:space="preserve">HTC</m:t>
                  </m:r>
                </m:e>
                <m:sub>
                  <m:r>
                    <m:rPr>
                      <m:lit/>
                      <m:nor/>
                    </m:rPr>
                    <w:rPr>
                      <w:rFonts w:ascii="Cambria Math" w:hAnsi="Cambria Math"/>
                    </w:rPr>
                    <m:t xml:space="preserve">inline</m:t>
                  </m:r>
                </m:sub>
              </m:sSub>
              <m:r>
                <w:rPr>
                  <w:rFonts w:ascii="Cambria Math" w:hAnsi="Cambria Math"/>
                </w:rPr>
                <m:t xml:space="preserve">=</m:t>
              </m:r>
              <m:f>
                <m:num>
                  <m:r>
                    <w:rPr>
                      <w:rFonts w:ascii="Cambria Math" w:hAnsi="Cambria Math"/>
                    </w:rPr>
                    <m:t xml:space="preserve">2</m:t>
                  </m:r>
                  <m:r>
                    <m:rPr>
                      <m:lit/>
                      <m:nor/>
                    </m:rPr>
                    <w:rPr>
                      <w:rFonts w:ascii="Cambria Math" w:hAnsi="Cambria Math"/>
                    </w:rPr>
                    <m:t xml:space="preserve">.</m:t>
                  </m:r>
                  <m:r>
                    <m:rPr>
                      <m:lit/>
                      <m:nor/>
                    </m:rPr>
                    <w:rPr>
                      <w:rFonts w:ascii="Cambria Math" w:hAnsi="Cambria Math"/>
                    </w:rPr>
                    <m:t xml:space="preserve">526</m:t>
                  </m:r>
                  <m:r>
                    <w:rPr>
                      <w:rFonts w:ascii="Cambria Math" w:hAnsi="Cambria Math"/>
                    </w:rPr>
                    <m:t xml:space="preserve">×</m:t>
                  </m:r>
                  <m:sSup>
                    <m:e>
                      <m:r>
                        <m:rPr>
                          <m:lit/>
                          <m:nor/>
                        </m:rPr>
                        <w:rPr>
                          <w:rFonts w:ascii="Cambria Math" w:hAnsi="Cambria Math"/>
                        </w:rPr>
                        <m:t xml:space="preserve">10</m:t>
                      </m:r>
                    </m:e>
                    <m:sup>
                      <m:r>
                        <w:rPr>
                          <w:rFonts w:ascii="Cambria Math" w:hAnsi="Cambria Math"/>
                        </w:rPr>
                        <m:t xml:space="preserve">−</m:t>
                      </m:r>
                      <m:r>
                        <w:rPr>
                          <w:rFonts w:ascii="Cambria Math" w:hAnsi="Cambria Math"/>
                        </w:rPr>
                        <m:t xml:space="preserve">5</m:t>
                      </m:r>
                    </m:sup>
                  </m:sSup>
                </m:num>
                <m:den>
                  <m:sSup>
                    <m:e>
                      <m:d>
                        <m:dPr>
                          <m:begChr m:val="("/>
                          <m:endChr m:val=")"/>
                        </m:dPr>
                        <m:e>
                          <m:f>
                            <m:num>
                              <m:sSub>
                                <m:e>
                                  <m:r>
                                    <w:rPr>
                                      <w:rFonts w:ascii="Cambria Math" w:hAnsi="Cambria Math"/>
                                    </w:rPr>
                                    <m:t xml:space="preserve">v</m:t>
                                  </m:r>
                                </m:e>
                                <m:sub>
                                  <m:r>
                                    <m:rPr>
                                      <m:lit/>
                                      <m:nor/>
                                    </m:rPr>
                                    <w:rPr>
                                      <w:rFonts w:ascii="Cambria Math" w:hAnsi="Cambria Math"/>
                                    </w:rPr>
                                    <m:t xml:space="preserve">darcy</m:t>
                                  </m:r>
                                </m:sub>
                              </m:sSub>
                            </m:num>
                            <m:den>
                              <m:m>
                                <m:mr>
                                  <m:e>
                                    <m:r>
                                      <w:rPr>
                                        <w:rFonts w:ascii="Cambria Math" w:hAnsi="Cambria Math"/>
                                      </w:rPr>
                                      <m:t xml:space="preserve">1</m:t>
                                    </m:r>
                                  </m:e>
                                  <m:e>
                                    <m:f>
                                      <m:fPr>
                                        <m:type m:val="lin"/>
                                      </m:fPr>
                                      <m:num>
                                        <m:r>
                                          <w:rPr>
                                            <w:rFonts w:ascii="Cambria Math" w:hAnsi="Cambria Math"/>
                                          </w:rPr>
                                          <m:t xml:space="preserve">m</m:t>
                                        </m:r>
                                      </m:num>
                                      <m:den>
                                        <m:r>
                                          <w:rPr>
                                            <w:rFonts w:ascii="Cambria Math" w:hAnsi="Cambria Math"/>
                                          </w:rPr>
                                          <m:t xml:space="preserve">s</m:t>
                                        </m:r>
                                      </m:den>
                                    </m:f>
                                  </m:e>
                                </m:mr>
                              </m:m>
                            </m:den>
                          </m:f>
                          <m:r>
                            <w:rPr>
                              <w:rFonts w:ascii="Cambria Math" w:hAnsi="Cambria Math"/>
                            </w:rPr>
                            <m:t xml:space="preserve">+</m:t>
                          </m:r>
                          <m:r>
                            <w:rPr>
                              <w:rFonts w:ascii="Cambria Math" w:hAnsi="Cambria Math"/>
                            </w:rPr>
                            <m:t xml:space="preserve">1</m:t>
                          </m:r>
                          <m:r>
                            <m:rPr>
                              <m:lit/>
                              <m:nor/>
                            </m:rPr>
                            <w:rPr>
                              <w:rFonts w:ascii="Cambria Math" w:hAnsi="Cambria Math"/>
                            </w:rPr>
                            <m:t xml:space="preserve">.</m:t>
                          </m:r>
                          <m:r>
                            <m:rPr>
                              <m:lit/>
                              <m:nor/>
                            </m:rPr>
                            <w:rPr>
                              <w:rFonts w:ascii="Cambria Math" w:hAnsi="Cambria Math"/>
                            </w:rPr>
                            <m:t xml:space="preserve">35</m:t>
                          </m:r>
                        </m:e>
                      </m:d>
                    </m:e>
                    <m:sup>
                      <m:r>
                        <w:rPr>
                          <w:rFonts w:ascii="Cambria Math" w:hAnsi="Cambria Math"/>
                        </w:rPr>
                        <m:t xml:space="preserve">0</m:t>
                      </m:r>
                      <m:r>
                        <m:rPr>
                          <m:lit/>
                          <m:nor/>
                        </m:rPr>
                        <w:rPr>
                          <w:rFonts w:ascii="Cambria Math" w:hAnsi="Cambria Math"/>
                        </w:rPr>
                        <m:t xml:space="preserve">.</m:t>
                      </m:r>
                      <m:r>
                        <m:rPr>
                          <m:lit/>
                          <m:nor/>
                        </m:rPr>
                        <w:rPr>
                          <w:rFonts w:ascii="Cambria Math" w:hAnsi="Cambria Math"/>
                        </w:rPr>
                        <m:t xml:space="preserve">64</m:t>
                      </m:r>
                    </m:sup>
                  </m:sSup>
                </m:den>
              </m:f>
              <m:r>
                <w:rPr>
                  <w:rFonts w:ascii="Cambria Math" w:hAnsi="Cambria Math"/>
                </w:rPr>
                <m:t xml:space="preserve">+</m:t>
              </m:r>
              <m:r>
                <w:rPr>
                  <w:rFonts w:ascii="Cambria Math" w:hAnsi="Cambria Math"/>
                </w:rPr>
                <m:t xml:space="preserve">1</m:t>
              </m:r>
              <m:r>
                <m:rPr>
                  <m:lit/>
                  <m:nor/>
                </m:rPr>
                <w:rPr>
                  <w:rFonts w:ascii="Cambria Math" w:hAnsi="Cambria Math"/>
                </w:rPr>
                <m:t xml:space="preserve">.</m:t>
              </m:r>
              <m:r>
                <m:rPr>
                  <m:lit/>
                  <m:nor/>
                </m:rPr>
                <w:rPr>
                  <w:rFonts w:ascii="Cambria Math" w:hAnsi="Cambria Math"/>
                </w:rPr>
                <m:t xml:space="preserve">533</m:t>
              </m:r>
              <m:r>
                <w:rPr>
                  <w:rFonts w:ascii="Cambria Math" w:hAnsi="Cambria Math"/>
                </w:rPr>
                <m:t xml:space="preserve">×</m:t>
              </m:r>
              <m:sSup>
                <m:e>
                  <m:r>
                    <m:rPr>
                      <m:lit/>
                      <m:nor/>
                    </m:rPr>
                    <w:rPr>
                      <w:rFonts w:ascii="Cambria Math" w:hAnsi="Cambria Math"/>
                    </w:rPr>
                    <m:t xml:space="preserve">10</m:t>
                  </m:r>
                </m:e>
                <m:sup>
                  <m:r>
                    <w:rPr>
                      <w:rFonts w:ascii="Cambria Math" w:hAnsi="Cambria Math"/>
                    </w:rPr>
                    <m:t xml:space="preserve">−</m:t>
                  </m:r>
                  <m:r>
                    <w:rPr>
                      <w:rFonts w:ascii="Cambria Math" w:hAnsi="Cambria Math"/>
                    </w:rPr>
                    <m:t xml:space="preserve">6</m:t>
                  </m:r>
                </m:sup>
              </m:sSup>
            </m:e>
            <m:e>
              <m:sSub>
                <m:e>
                  <m:r>
                    <m:rPr>
                      <m:lit/>
                      <m:nor/>
                    </m:rPr>
                    <w:rPr>
                      <w:rFonts w:ascii="Cambria Math" w:hAnsi="Cambria Math"/>
                    </w:rPr>
                    <m:t xml:space="preserve">HTC</m:t>
                  </m:r>
                </m:e>
                <m:sub>
                  <m:r>
                    <m:rPr>
                      <m:lit/>
                      <m:nor/>
                    </m:rPr>
                    <w:rPr>
                      <w:rFonts w:ascii="Cambria Math" w:hAnsi="Cambria Math"/>
                    </w:rPr>
                    <m:t xml:space="preserve">staggered</m:t>
                  </m:r>
                </m:sub>
              </m:sSub>
              <m:r>
                <w:rPr>
                  <w:rFonts w:ascii="Cambria Math" w:hAnsi="Cambria Math"/>
                </w:rPr>
                <m:t xml:space="preserve">=</m:t>
              </m:r>
              <m:f>
                <m:num>
                  <m:r>
                    <w:rPr>
                      <w:rFonts w:ascii="Cambria Math" w:hAnsi="Cambria Math"/>
                    </w:rPr>
                    <m:t xml:space="preserve">2</m:t>
                  </m:r>
                  <m:r>
                    <m:rPr>
                      <m:lit/>
                      <m:nor/>
                    </m:rPr>
                    <w:rPr>
                      <w:rFonts w:ascii="Cambria Math" w:hAnsi="Cambria Math"/>
                    </w:rPr>
                    <m:t xml:space="preserve">.</m:t>
                  </m:r>
                  <m:r>
                    <m:rPr>
                      <m:lit/>
                      <m:nor/>
                    </m:rPr>
                    <w:rPr>
                      <w:rFonts w:ascii="Cambria Math" w:hAnsi="Cambria Math"/>
                    </w:rPr>
                    <m:t xml:space="preserve">526</m:t>
                  </m:r>
                  <m:r>
                    <w:rPr>
                      <w:rFonts w:ascii="Cambria Math" w:hAnsi="Cambria Math"/>
                    </w:rPr>
                    <m:t xml:space="preserve">×</m:t>
                  </m:r>
                  <m:sSup>
                    <m:e>
                      <m:r>
                        <m:rPr>
                          <m:lit/>
                          <m:nor/>
                        </m:rPr>
                        <w:rPr>
                          <w:rFonts w:ascii="Cambria Math" w:hAnsi="Cambria Math"/>
                        </w:rPr>
                        <m:t xml:space="preserve">10</m:t>
                      </m:r>
                    </m:e>
                    <m:sup>
                      <m:r>
                        <w:rPr>
                          <w:rFonts w:ascii="Cambria Math" w:hAnsi="Cambria Math"/>
                        </w:rPr>
                        <m:t xml:space="preserve">−</m:t>
                      </m:r>
                      <m:r>
                        <w:rPr>
                          <w:rFonts w:ascii="Cambria Math" w:hAnsi="Cambria Math"/>
                        </w:rPr>
                        <m:t xml:space="preserve">5</m:t>
                      </m:r>
                    </m:sup>
                  </m:sSup>
                </m:num>
                <m:den>
                  <m:sSup>
                    <m:e>
                      <m:d>
                        <m:dPr>
                          <m:begChr m:val="("/>
                          <m:endChr m:val=")"/>
                        </m:dPr>
                        <m:e>
                          <m:f>
                            <m:num>
                              <m:sSub>
                                <m:e>
                                  <m:r>
                                    <w:rPr>
                                      <w:rFonts w:ascii="Cambria Math" w:hAnsi="Cambria Math"/>
                                    </w:rPr>
                                    <m:t xml:space="preserve">v</m:t>
                                  </m:r>
                                </m:e>
                                <m:sub>
                                  <m:r>
                                    <m:rPr>
                                      <m:lit/>
                                      <m:nor/>
                                    </m:rPr>
                                    <w:rPr>
                                      <w:rFonts w:ascii="Cambria Math" w:hAnsi="Cambria Math"/>
                                    </w:rPr>
                                    <m:t xml:space="preserve">darcy</m:t>
                                  </m:r>
                                </m:sub>
                              </m:sSub>
                            </m:num>
                            <m:den>
                              <m:m>
                                <m:mr>
                                  <m:e>
                                    <m:r>
                                      <w:rPr>
                                        <w:rFonts w:ascii="Cambria Math" w:hAnsi="Cambria Math"/>
                                      </w:rPr>
                                      <m:t xml:space="preserve">1</m:t>
                                    </m:r>
                                  </m:e>
                                  <m:e>
                                    <m:f>
                                      <m:fPr>
                                        <m:type m:val="lin"/>
                                      </m:fPr>
                                      <m:num>
                                        <m:r>
                                          <w:rPr>
                                            <w:rFonts w:ascii="Cambria Math" w:hAnsi="Cambria Math"/>
                                          </w:rPr>
                                          <m:t xml:space="preserve">m</m:t>
                                        </m:r>
                                      </m:num>
                                      <m:den>
                                        <m:r>
                                          <w:rPr>
                                            <w:rFonts w:ascii="Cambria Math" w:hAnsi="Cambria Math"/>
                                          </w:rPr>
                                          <m:t xml:space="preserve">s</m:t>
                                        </m:r>
                                      </m:den>
                                    </m:f>
                                  </m:e>
                                </m:mr>
                              </m:m>
                            </m:den>
                          </m:f>
                          <m:r>
                            <w:rPr>
                              <w:rFonts w:ascii="Cambria Math" w:hAnsi="Cambria Math"/>
                            </w:rPr>
                            <m:t xml:space="preserve">+</m:t>
                          </m:r>
                          <m:r>
                            <w:rPr>
                              <w:rFonts w:ascii="Cambria Math" w:hAnsi="Cambria Math"/>
                            </w:rPr>
                            <m:t xml:space="preserve">1</m:t>
                          </m:r>
                          <m:r>
                            <m:rPr>
                              <m:lit/>
                              <m:nor/>
                            </m:rPr>
                            <w:rPr>
                              <w:rFonts w:ascii="Cambria Math" w:hAnsi="Cambria Math"/>
                            </w:rPr>
                            <m:t xml:space="preserve">.</m:t>
                          </m:r>
                          <m:r>
                            <m:rPr>
                              <m:lit/>
                              <m:nor/>
                            </m:rPr>
                            <w:rPr>
                              <w:rFonts w:ascii="Cambria Math" w:hAnsi="Cambria Math"/>
                            </w:rPr>
                            <m:t xml:space="preserve">35</m:t>
                          </m:r>
                        </m:e>
                      </m:d>
                    </m:e>
                    <m:sup>
                      <m:r>
                        <w:rPr>
                          <w:rFonts w:ascii="Cambria Math" w:hAnsi="Cambria Math"/>
                        </w:rPr>
                        <m:t xml:space="preserve">1</m:t>
                      </m:r>
                      <m:r>
                        <m:rPr>
                          <m:lit/>
                          <m:nor/>
                        </m:rPr>
                        <w:rPr>
                          <w:rFonts w:ascii="Cambria Math" w:hAnsi="Cambria Math"/>
                        </w:rPr>
                        <m:t xml:space="preserve">.</m:t>
                      </m:r>
                      <m:r>
                        <m:rPr>
                          <m:lit/>
                          <m:nor/>
                        </m:rPr>
                        <w:rPr>
                          <w:rFonts w:ascii="Cambria Math" w:hAnsi="Cambria Math"/>
                        </w:rPr>
                        <m:t xml:space="preserve">52</m:t>
                      </m:r>
                    </m:sup>
                  </m:sSup>
                </m:den>
              </m:f>
              <m:r>
                <w:rPr>
                  <w:rFonts w:ascii="Cambria Math" w:hAnsi="Cambria Math"/>
                </w:rPr>
                <m:t xml:space="preserve">+</m:t>
              </m:r>
              <m:r>
                <w:rPr>
                  <w:rFonts w:ascii="Cambria Math" w:hAnsi="Cambria Math"/>
                </w:rPr>
                <m:t xml:space="preserve">1</m:t>
              </m:r>
              <m:r>
                <m:rPr>
                  <m:lit/>
                  <m:nor/>
                </m:rPr>
                <w:rPr>
                  <w:rFonts w:ascii="Cambria Math" w:hAnsi="Cambria Math"/>
                </w:rPr>
                <m:t xml:space="preserve">.</m:t>
              </m:r>
              <m:r>
                <m:rPr>
                  <m:lit/>
                  <m:nor/>
                </m:rPr>
                <w:rPr>
                  <w:rFonts w:ascii="Cambria Math" w:hAnsi="Cambria Math"/>
                </w:rPr>
                <m:t xml:space="preserve">533</m:t>
              </m:r>
              <m:r>
                <w:rPr>
                  <w:rFonts w:ascii="Cambria Math" w:hAnsi="Cambria Math"/>
                </w:rPr>
                <m:t xml:space="preserve">×</m:t>
              </m:r>
              <m:sSup>
                <m:e>
                  <m:r>
                    <m:rPr>
                      <m:lit/>
                      <m:nor/>
                    </m:rPr>
                    <w:rPr>
                      <w:rFonts w:ascii="Cambria Math" w:hAnsi="Cambria Math"/>
                    </w:rPr>
                    <m:t xml:space="preserve">10</m:t>
                  </m:r>
                </m:e>
                <m:sup>
                  <m:r>
                    <w:rPr>
                      <w:rFonts w:ascii="Cambria Math" w:hAnsi="Cambria Math"/>
                    </w:rPr>
                    <m:t xml:space="preserve">−</m:t>
                  </m:r>
                  <m:r>
                    <w:rPr>
                      <w:rFonts w:ascii="Cambria Math" w:hAnsi="Cambria Math"/>
                    </w:rPr>
                    <m:t xml:space="preserve">6</m:t>
                  </m:r>
                </m:sup>
              </m:sSup>
            </m:e>
          </m:eqArr>
        </m:oMath>
      </m:oMathPara>
    </w:p>
    <w:p>
      <w:pPr>
        <w:pStyle w:val="Normal"/>
        <w:rPr/>
      </w:pPr>
      <w:r>
        <w:rPr/>
      </w:r>
    </w:p>
    <w:p>
      <w:pPr>
        <w:pStyle w:val="Heading2"/>
        <w:numPr>
          <w:ilvl w:val="0"/>
          <w:numId w:val="18"/>
        </w:numPr>
        <w:rPr/>
      </w:pPr>
      <w:bookmarkStart w:id="73" w:name="__RefHeading___Toc2961_2393532176"/>
      <w:bookmarkStart w:id="74" w:name="_Toc442446441"/>
      <w:bookmarkEnd w:id="73"/>
      <w:bookmarkEnd w:id="74"/>
      <w:r>
        <w:rPr/>
        <w:t>Inputs to 3D-ICE</w:t>
      </w:r>
    </w:p>
    <w:p>
      <w:pPr>
        <w:pStyle w:val="Normal"/>
        <w:jc w:val="both"/>
        <w:rPr/>
      </w:pPr>
      <w:r>
        <w:rPr/>
        <w:t>3D-ICE accesses all the information needed to emulate a 3D IC from two different types of input files and these constitute a 3D-ICE project:</w:t>
      </w:r>
    </w:p>
    <w:p>
      <w:pPr>
        <w:pStyle w:val="ListParagraph"/>
        <w:numPr>
          <w:ilvl w:val="0"/>
          <w:numId w:val="4"/>
        </w:numPr>
        <w:jc w:val="both"/>
        <w:rPr/>
      </w:pPr>
      <w:r>
        <w:rPr>
          <w:b/>
        </w:rPr>
        <w:t>Stack Description File</w:t>
      </w:r>
      <w:r>
        <w:rPr/>
        <w:t>: The stack description file or the “stack descriptor” is the project file created by the user to describe the 3D IC thermal problem that will be solved. It contains information about the structure, material properties of the 3D Stack, the description of the various heat sinks in the system, the discretization parameters, analysis parameters, and finally, commands to 3D-ICE for printing out the desired outputs from the simulation. Please refer to Section 6.A when writing this file.</w:t>
      </w:r>
    </w:p>
    <w:p>
      <w:pPr>
        <w:pStyle w:val="ListParagraph"/>
        <w:numPr>
          <w:ilvl w:val="0"/>
          <w:numId w:val="4"/>
        </w:numPr>
        <w:jc w:val="both"/>
        <w:rPr/>
      </w:pPr>
      <w:r>
        <w:rPr>
          <w:b/>
        </w:rPr>
        <w:t>Floorplan File</w:t>
      </w:r>
      <w:r>
        <w:rPr/>
        <w:t>: This file describes the architecture of a 3D IC design as is seen by the thermal model. It contains information about the location and the size of each major logic block in the IC, and the corresponding heat dissipation traces, as a function of time. Each die included in the stack descriptor must have a corresponding floorplan file. Please refer to Section 6.B for instructions on how to write this file.</w:t>
      </w:r>
    </w:p>
    <w:p>
      <w:pPr>
        <w:pStyle w:val="Heading2"/>
        <w:numPr>
          <w:ilvl w:val="0"/>
          <w:numId w:val="18"/>
        </w:numPr>
        <w:rPr/>
      </w:pPr>
      <w:bookmarkStart w:id="75" w:name="__RefHeading___Toc2963_2393532176"/>
      <w:bookmarkStart w:id="76" w:name="_Toc442446442"/>
      <w:bookmarkEnd w:id="75"/>
      <w:bookmarkEnd w:id="76"/>
      <w:r>
        <w:rPr/>
        <w:t>Convention and Terminology</w:t>
      </w:r>
    </w:p>
    <w:p>
      <w:pPr>
        <w:pStyle w:val="Normal"/>
        <w:jc w:val="both"/>
        <w:rPr/>
      </w:pPr>
      <w:r>
        <w:rPr/>
        <w:t xml:space="preserve">In 3D-ICE, both Cartesian coordinates and cardinal directions are used to describe the location of cells/nodes and direction of heat flow in the structure. The indices of cells/nodes along the </w:t>
      </w:r>
      <w:r>
        <w:rPr>
          <w:i/>
        </w:rPr>
        <w:t>x</w:t>
      </w:r>
      <w:r>
        <w:rPr/>
        <w:t xml:space="preserve"> direction (WEST-EAST) are sometimes referred to as </w:t>
      </w:r>
      <w:r>
        <w:rPr>
          <w:i/>
        </w:rPr>
        <w:t>columns</w:t>
      </w:r>
      <w:r>
        <w:rPr/>
        <w:t xml:space="preserve">, the indices along the </w:t>
      </w:r>
      <w:r>
        <w:rPr>
          <w:i/>
        </w:rPr>
        <w:t>y</w:t>
      </w:r>
      <w:r>
        <w:rPr/>
        <w:t xml:space="preserve"> direction (SOUTH-NORTH) are sometimes referred to as </w:t>
      </w:r>
      <w:r>
        <w:rPr>
          <w:i/>
        </w:rPr>
        <w:t>rows</w:t>
      </w:r>
      <w:r>
        <w:rPr/>
        <w:t xml:space="preserve">, and the indices along the </w:t>
      </w:r>
      <w:r>
        <w:rPr>
          <w:i/>
        </w:rPr>
        <w:t>z</w:t>
      </w:r>
      <w:r>
        <w:rPr/>
        <w:t xml:space="preserve"> direction (BOTTOM-TOP) sometimes referred to as </w:t>
      </w:r>
      <w:r>
        <w:rPr>
          <w:i/>
        </w:rPr>
        <w:t>layers</w:t>
      </w:r>
      <w:r>
        <w:rPr/>
        <w:t xml:space="preserve">. Also, the word </w:t>
      </w:r>
      <w:r>
        <w:rPr>
          <w:i/>
        </w:rPr>
        <w:t>length</w:t>
      </w:r>
      <w:r>
        <w:rPr/>
        <w:t xml:space="preserve"> is used primarily to refer to dimensions in the </w:t>
      </w:r>
      <w:r>
        <w:rPr>
          <w:i/>
        </w:rPr>
        <w:t>x</w:t>
      </w:r>
      <w:r>
        <w:rPr/>
        <w:t xml:space="preserve"> direction, the term </w:t>
      </w:r>
      <w:r>
        <w:rPr>
          <w:i/>
        </w:rPr>
        <w:t>width</w:t>
      </w:r>
      <w:r>
        <w:rPr/>
        <w:t xml:space="preserve"> is used for the </w:t>
      </w:r>
      <w:r>
        <w:rPr>
          <w:i/>
        </w:rPr>
        <w:t>y</w:t>
      </w:r>
      <w:r>
        <w:rPr/>
        <w:t xml:space="preserve"> direction and the term </w:t>
      </w:r>
      <w:r>
        <w:rPr>
          <w:i/>
        </w:rPr>
        <w:t>height</w:t>
      </w:r>
      <w:r>
        <w:rPr/>
        <w:t xml:space="preserve"> is used for the </w:t>
      </w:r>
      <w:r>
        <w:rPr>
          <w:i/>
        </w:rPr>
        <w:t>z</w:t>
      </w:r>
      <w:r>
        <w:rPr/>
        <w:t xml:space="preserve"> direction unless otherwise specified. A typical solid thermal cell along with the coordinate systems used in the library is shown in Fig. 1.</w:t>
      </w:r>
    </w:p>
    <w:p>
      <w:pPr>
        <w:pStyle w:val="Normal"/>
        <w:jc w:val="both"/>
        <w:rPr/>
      </w:pPr>
      <w:r>
        <w:rPr/>
        <w:t xml:space="preserve">The corresponding model for a liquid cell is shown in Fig. 2. Note that the current sources shown here correspond to the fluid flow in the microchannels. In this library, only flow direction NORTH or </w:t>
      </w:r>
      <w:r>
        <w:rPr>
          <w:i/>
        </w:rPr>
        <w:t>+y</w:t>
      </w:r>
      <w:r>
        <w:rPr/>
        <w:t xml:space="preserve"> is supported, and hence, when microchannels used in a 3D-IC structure, they are always laid out facing SOUTH-NORTH (with the inlet being at the southern end and the outlet at the northern end of the channels). Hence, the northern edge of the IC is expected to be the hottest and the southern end of the IC is expected to be the coldest in any analysis. It is up to you to decide your floorplanning of the ICs accordingly.</w:t>
      </w:r>
    </w:p>
    <w:p>
      <w:pPr>
        <w:pStyle w:val="Normal"/>
        <w:jc w:val="both"/>
        <w:rPr/>
      </w:pPr>
      <w:r>
        <w:rPr/>
        <w:t>The syntaxes used in this document for describing how these input files must be written are based on the following convention:</w:t>
      </w:r>
    </w:p>
    <w:p>
      <w:pPr>
        <w:pStyle w:val="Normal"/>
        <w:tabs>
          <w:tab w:val="clear" w:pos="720"/>
          <w:tab w:val="center" w:pos="1701" w:leader="none"/>
          <w:tab w:val="left" w:pos="2552" w:leader="none"/>
        </w:tabs>
        <w:spacing w:before="0" w:after="100"/>
        <w:ind w:left="720" w:hanging="0"/>
        <w:jc w:val="both"/>
        <w:rPr/>
      </w:pPr>
      <w:r>
        <w:rPr>
          <w:rFonts w:cs="Courier New" w:ascii="Courier New" w:hAnsi="Courier New"/>
          <w:sz w:val="18"/>
          <w:szCs w:val="18"/>
        </w:rPr>
        <w:t>[: … :]</w:t>
      </w:r>
      <w:r>
        <w:rPr/>
        <w:tab/>
        <w:tab/>
        <w:t>POSIX characters class</w:t>
      </w:r>
    </w:p>
    <w:p>
      <w:pPr>
        <w:pStyle w:val="Normal"/>
        <w:tabs>
          <w:tab w:val="clear" w:pos="720"/>
          <w:tab w:val="center" w:pos="1701" w:leader="none"/>
          <w:tab w:val="left" w:pos="2552" w:leader="none"/>
        </w:tabs>
        <w:spacing w:before="0" w:after="100"/>
        <w:ind w:left="720" w:hanging="0"/>
        <w:jc w:val="both"/>
        <w:rPr/>
      </w:pPr>
      <w:r>
        <w:rPr>
          <w:rFonts w:cs="Courier New" w:ascii="Courier New" w:hAnsi="Courier New"/>
          <w:sz w:val="18"/>
          <w:szCs w:val="18"/>
        </w:rPr>
        <w:t xml:space="preserve">… </w:t>
      </w:r>
      <w:r>
        <w:rPr>
          <w:rFonts w:cs="Courier New" w:ascii="Courier New" w:hAnsi="Courier New"/>
          <w:sz w:val="18"/>
          <w:szCs w:val="18"/>
        </w:rPr>
        <w:t>| …</w:t>
      </w:r>
      <w:r>
        <w:rPr/>
        <w:tab/>
        <w:tab/>
        <w:t>OR- either of the two elements must be used</w:t>
      </w:r>
    </w:p>
    <w:p>
      <w:pPr>
        <w:pStyle w:val="Normal"/>
        <w:tabs>
          <w:tab w:val="clear" w:pos="720"/>
          <w:tab w:val="center" w:pos="1701" w:leader="none"/>
          <w:tab w:val="left" w:pos="2552" w:leader="none"/>
        </w:tabs>
        <w:spacing w:before="0" w:after="100"/>
        <w:ind w:left="720" w:hanging="0"/>
        <w:jc w:val="both"/>
        <w:rPr/>
      </w:pPr>
      <w:r>
        <w:rPr>
          <w:rFonts w:cs="Courier New" w:ascii="Courier New" w:hAnsi="Courier New"/>
          <w:sz w:val="18"/>
          <w:szCs w:val="18"/>
        </w:rPr>
        <w:t>[ … ]?</w:t>
      </w:r>
      <w:r>
        <w:rPr/>
        <w:tab/>
        <w:tab/>
        <w:t>an optional element</w:t>
      </w:r>
    </w:p>
    <w:p>
      <w:pPr>
        <w:pStyle w:val="Normal"/>
        <w:tabs>
          <w:tab w:val="clear" w:pos="720"/>
          <w:tab w:val="center" w:pos="1701" w:leader="none"/>
          <w:tab w:val="left" w:pos="2552" w:leader="none"/>
        </w:tabs>
        <w:spacing w:before="0" w:after="100"/>
        <w:ind w:left="720" w:hanging="0"/>
        <w:jc w:val="both"/>
        <w:rPr/>
      </w:pPr>
      <w:r>
        <w:rPr>
          <w:rFonts w:cs="Courier New" w:ascii="Courier New" w:hAnsi="Courier New"/>
          <w:sz w:val="18"/>
          <w:szCs w:val="18"/>
        </w:rPr>
        <w:t>[ … ]+</w:t>
        <w:tab/>
      </w:r>
      <w:r>
        <w:rPr/>
        <w:tab/>
        <w:t>one or more of this element must be used</w:t>
      </w:r>
    </w:p>
    <w:p>
      <w:pPr>
        <w:pStyle w:val="Normal"/>
        <w:tabs>
          <w:tab w:val="clear" w:pos="720"/>
          <w:tab w:val="center" w:pos="1701" w:leader="none"/>
          <w:tab w:val="left" w:pos="2552" w:leader="none"/>
        </w:tabs>
        <w:spacing w:before="0" w:after="100"/>
        <w:ind w:left="720" w:hanging="0"/>
        <w:jc w:val="both"/>
        <w:rPr/>
      </w:pPr>
      <w:r>
        <w:rPr>
          <w:rFonts w:cs="Courier New" w:ascii="Courier New" w:hAnsi="Courier New"/>
          <w:sz w:val="18"/>
          <w:szCs w:val="18"/>
        </w:rPr>
        <w:t>[ … ]*</w:t>
      </w:r>
      <w:r>
        <w:rPr/>
        <w:tab/>
        <w:tab/>
        <w:t>zero or more of this element must be used</w:t>
      </w:r>
    </w:p>
    <w:p>
      <w:pPr>
        <w:pStyle w:val="Normal"/>
        <w:jc w:val="both"/>
        <w:rPr/>
      </w:pPr>
      <w:r>
        <w:rPr/>
        <w:t xml:space="preserve">Within the files, </w:t>
      </w:r>
      <w:r>
        <w:rPr>
          <w:b/>
        </w:rPr>
        <w:t>keywords must be written in low case</w:t>
      </w:r>
      <w:r>
        <w:rPr/>
        <w:t xml:space="preserve"> and all the white spaces belonging to</w:t>
      </w:r>
    </w:p>
    <w:p>
      <w:pPr>
        <w:pStyle w:val="Normal"/>
        <w:ind w:left="720" w:hanging="0"/>
        <w:jc w:val="both"/>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[:space:]</w:t>
      </w:r>
    </w:p>
    <w:p>
      <w:pPr>
        <w:pStyle w:val="Normal"/>
        <w:jc w:val="both"/>
        <w:rPr/>
      </w:pPr>
      <w:r>
        <w:rPr/>
        <w:t>will be skipped during the parsing. Identifiers (referred to as ID) must match the following expression:</w:t>
      </w:r>
    </w:p>
    <w:p>
      <w:pPr>
        <w:pStyle w:val="Normal"/>
        <w:ind w:left="720" w:hanging="0"/>
        <w:jc w:val="both"/>
        <w:rPr/>
      </w:pPr>
      <w:r>
        <w:rPr>
          <w:rFonts w:cs="Courier New" w:ascii="Courier New" w:hAnsi="Courier New"/>
          <w:sz w:val="18"/>
        </w:rPr>
        <w:t>[:alpha:] [ _ | [:alnum:] ]*</w:t>
      </w:r>
    </w:p>
    <w:p>
      <w:pPr>
        <w:pStyle w:val="Normal"/>
        <w:jc w:val="both"/>
        <w:rPr/>
      </w:pPr>
      <w:r>
        <w:rPr/>
        <w:t>Floating points values (referred to as DVALUE) must belong to</w:t>
      </w:r>
    </w:p>
    <w:p>
      <w:pPr>
        <w:pStyle w:val="Normal"/>
        <w:ind w:left="720" w:hanging="0"/>
        <w:jc w:val="both"/>
        <w:rPr>
          <w:lang w:val="fr-FR"/>
        </w:rPr>
      </w:pPr>
      <w:r>
        <w:rPr>
          <w:rFonts w:cs="Courier New" w:ascii="Courier New" w:hAnsi="Courier New"/>
          <w:sz w:val="18"/>
          <w:szCs w:val="18"/>
          <w:lang w:val="fr-CH"/>
        </w:rPr>
        <w:t>[+|-]? [:digit:]+ [ \. [:digit:]+ [ [e|E] [+|-]? [:digit:]+ ]? ]?</w:t>
      </w:r>
    </w:p>
    <w:p>
      <w:pPr>
        <w:pStyle w:val="Normal"/>
        <w:jc w:val="both"/>
        <w:rPr/>
      </w:pPr>
      <w:r>
        <w:rPr/>
        <w:t xml:space="preserve">Please refer to the flex sources in </w:t>
      </w:r>
      <w:r>
        <w:rPr>
          <w:rFonts w:cs="Courier New" w:ascii="Courier New" w:hAnsi="Courier New"/>
          <w:sz w:val="18"/>
        </w:rPr>
        <w:t>3D-ICE/flex</w:t>
      </w:r>
      <w:r>
        <w:rPr/>
        <w:t xml:space="preserve"> for more details. It is also possible to insert comments at the end of a line ( </w:t>
      </w:r>
      <w:r>
        <w:rPr>
          <w:rFonts w:cs="Courier New" w:ascii="Courier New" w:hAnsi="Courier New"/>
          <w:sz w:val="18"/>
        </w:rPr>
        <w:t>//</w:t>
      </w:r>
      <w:r>
        <w:rPr/>
        <w:t xml:space="preserve">) or to comment an entire block ( </w:t>
      </w:r>
      <w:r>
        <w:rPr>
          <w:rFonts w:cs="Courier New" w:ascii="Courier New" w:hAnsi="Courier New"/>
          <w:sz w:val="18"/>
        </w:rPr>
        <w:t>/* ... */</w:t>
      </w:r>
      <w:r>
        <w:rPr/>
        <w:t xml:space="preserve"> ) of the input files (similar to C or C++).</w:t>
      </w:r>
    </w:p>
    <w:p>
      <w:pPr>
        <w:pStyle w:val="Normal"/>
        <w:rPr/>
      </w:pPr>
      <w:r>
        <w:rPr/>
      </w:r>
      <w:r>
        <w:br w:type="page"/>
      </w:r>
    </w:p>
    <w:p>
      <w:pPr>
        <w:pStyle w:val="Heading1"/>
        <w:numPr>
          <w:ilvl w:val="0"/>
          <w:numId w:val="2"/>
        </w:numPr>
        <w:rPr/>
      </w:pPr>
      <w:bookmarkStart w:id="77" w:name="__RefHeading___Toc2965_2393532176"/>
      <w:bookmarkStart w:id="78" w:name="_Toc442446443"/>
      <w:bookmarkEnd w:id="77"/>
      <w:bookmarkEnd w:id="78"/>
      <w:r>
        <w:rPr/>
        <w:t>Creating a 3D-ICE project</w:t>
      </w:r>
    </w:p>
    <w:p>
      <w:pPr>
        <w:pStyle w:val="Normal"/>
        <w:jc w:val="both"/>
        <w:rPr/>
      </w:pPr>
      <w:r>
        <w:rPr/>
        <w:t xml:space="preserve">As mentioned in Section 6.B, a 3D-ICE project consists of writing a stack descriptor file and one or more floorplan files. See the example Stack Description File and Floorplan files providedin the </w:t>
      </w:r>
      <w:r>
        <w:rPr>
          <w:rFonts w:cs="Courier New" w:ascii="Courier New" w:hAnsi="Courier New"/>
          <w:sz w:val="18"/>
        </w:rPr>
        <w:t xml:space="preserve">./bin </w:t>
      </w:r>
      <w:r>
        <w:rPr/>
        <w:t>folder for reference.</w:t>
      </w:r>
    </w:p>
    <w:p>
      <w:pPr>
        <w:pStyle w:val="Heading2"/>
        <w:numPr>
          <w:ilvl w:val="0"/>
          <w:numId w:val="20"/>
        </w:numPr>
        <w:rPr/>
      </w:pPr>
      <w:bookmarkStart w:id="79" w:name="__RefHeading___Toc2967_2393532176"/>
      <w:bookmarkStart w:id="80" w:name="_Toc442446444"/>
      <w:bookmarkEnd w:id="79"/>
      <w:bookmarkEnd w:id="80"/>
      <w:r>
        <w:rPr/>
        <w:t>Stack Description File</w:t>
      </w:r>
    </w:p>
    <w:p>
      <w:pPr>
        <w:pStyle w:val="Normal"/>
        <w:jc w:val="both"/>
        <w:rPr/>
      </w:pPr>
      <w:r>
        <w:rPr/>
        <w:t>The stack description file (*.stk) is a netlist that specifies all the physical and geometrical properties of the 3D-IC for the simulation. The extension of the file is not relevant-it will beparsed independent of its presence or content.</w:t>
      </w:r>
    </w:p>
    <w:p>
      <w:pPr>
        <w:pStyle w:val="Normal"/>
        <w:jc w:val="both"/>
        <w:rPr/>
      </w:pPr>
      <w:r>
        <w:rPr/>
        <w:t>The stack description file contains EIGHT main sections (mandatory and optional) and they must be declared in this order:</w:t>
      </w:r>
    </w:p>
    <w:p>
      <w:pPr>
        <w:pStyle w:val="ListParagraph"/>
        <w:numPr>
          <w:ilvl w:val="0"/>
          <w:numId w:val="5"/>
        </w:numPr>
        <w:jc w:val="both"/>
        <w:rPr/>
      </w:pPr>
      <w:r>
        <w:rPr/>
        <w:t>Materials</w:t>
      </w:r>
    </w:p>
    <w:p>
      <w:pPr>
        <w:pStyle w:val="ListParagraph"/>
        <w:numPr>
          <w:ilvl w:val="0"/>
          <w:numId w:val="5"/>
        </w:numPr>
        <w:jc w:val="both"/>
        <w:rPr/>
      </w:pPr>
      <w:r>
        <w:rPr/>
        <w:t>Heat sink</w:t>
      </w:r>
    </w:p>
    <w:p>
      <w:pPr>
        <w:pStyle w:val="ListParagraph"/>
        <w:numPr>
          <w:ilvl w:val="0"/>
          <w:numId w:val="5"/>
        </w:numPr>
        <w:jc w:val="both"/>
        <w:rPr/>
      </w:pPr>
      <w:r>
        <w:rPr/>
        <w:t>Liquid-cooled cavity</w:t>
      </w:r>
    </w:p>
    <w:p>
      <w:pPr>
        <w:pStyle w:val="ListParagraph"/>
        <w:numPr>
          <w:ilvl w:val="0"/>
          <w:numId w:val="5"/>
        </w:numPr>
        <w:jc w:val="both"/>
        <w:rPr/>
      </w:pPr>
      <w:r>
        <w:rPr/>
        <w:t>Layers</w:t>
      </w:r>
    </w:p>
    <w:p>
      <w:pPr>
        <w:pStyle w:val="ListParagraph"/>
        <w:numPr>
          <w:ilvl w:val="0"/>
          <w:numId w:val="5"/>
        </w:numPr>
        <w:jc w:val="both"/>
        <w:rPr/>
      </w:pPr>
      <w:r>
        <w:rPr/>
        <w:t>Dies</w:t>
      </w:r>
    </w:p>
    <w:p>
      <w:pPr>
        <w:pStyle w:val="ListParagraph"/>
        <w:numPr>
          <w:ilvl w:val="0"/>
          <w:numId w:val="5"/>
        </w:numPr>
        <w:jc w:val="both"/>
        <w:rPr/>
      </w:pPr>
      <w:r>
        <w:rPr/>
        <w:t>Dimensions</w:t>
      </w:r>
    </w:p>
    <w:p>
      <w:pPr>
        <w:pStyle w:val="ListParagraph"/>
        <w:numPr>
          <w:ilvl w:val="0"/>
          <w:numId w:val="5"/>
        </w:numPr>
        <w:jc w:val="both"/>
        <w:rPr/>
      </w:pPr>
      <w:r>
        <w:rPr/>
        <w:t>Stack</w:t>
      </w:r>
    </w:p>
    <w:p>
      <w:pPr>
        <w:pStyle w:val="ListParagraph"/>
        <w:numPr>
          <w:ilvl w:val="0"/>
          <w:numId w:val="5"/>
        </w:numPr>
        <w:jc w:val="both"/>
        <w:rPr/>
      </w:pPr>
      <w:r>
        <w:rPr/>
        <w:t>Analysis options</w:t>
      </w:r>
    </w:p>
    <w:p>
      <w:pPr>
        <w:pStyle w:val="ListParagraph"/>
        <w:numPr>
          <w:ilvl w:val="0"/>
          <w:numId w:val="5"/>
        </w:numPr>
        <w:jc w:val="both"/>
        <w:rPr/>
      </w:pPr>
      <w:r>
        <w:rPr/>
        <w:t>Output instructions</w:t>
      </w:r>
    </w:p>
    <w:p>
      <w:pPr>
        <w:pStyle w:val="Normal"/>
        <w:jc w:val="both"/>
        <w:rPr/>
      </w:pPr>
      <w:r>
        <w:rPr/>
        <w:t>The following description of each of these sections is NOT in the above-mentioned order for ease of presentation and coherence.</w:t>
      </w:r>
    </w:p>
    <w:p>
      <w:pPr>
        <w:pStyle w:val="Heading3"/>
        <w:numPr>
          <w:ilvl w:val="0"/>
          <w:numId w:val="22"/>
        </w:numPr>
        <w:ind w:left="426" w:hanging="142"/>
        <w:rPr/>
      </w:pPr>
      <w:bookmarkStart w:id="81" w:name="__RefHeading___Toc2969_2393532176"/>
      <w:bookmarkStart w:id="82" w:name="_Toc442446445"/>
      <w:bookmarkEnd w:id="81"/>
      <w:bookmarkEnd w:id="82"/>
      <w:r>
        <w:rPr/>
        <w:t>Materials</w:t>
      </w:r>
    </w:p>
    <w:p>
      <w:pPr>
        <w:pStyle w:val="Normal"/>
        <w:jc w:val="both"/>
        <w:rPr/>
      </w:pPr>
      <w:r>
        <w:rPr/>
        <w:t>The first section of the file contains the list of materials and their properties to be used in the simulation. At least one material must be declared. Materials are declared with the syntax,</w:t>
      </w:r>
    </w:p>
    <w:p>
      <w:pPr>
        <w:pStyle w:val="Normal"/>
        <w:ind w:left="720" w:hanging="0"/>
        <w:jc w:val="both"/>
        <w:rPr>
          <w:rFonts w:ascii="Courier New" w:hAnsi="Courier New" w:cs="Courier New"/>
          <w:sz w:val="18"/>
        </w:rPr>
      </w:pPr>
      <w:r>
        <w:rPr>
          <w:rFonts w:cs="Courier New" w:ascii="Courier New" w:hAnsi="Courier New"/>
          <w:sz w:val="18"/>
        </w:rPr>
        <w:t>material MATERIAL_ID :</w:t>
      </w:r>
    </w:p>
    <w:p>
      <w:pPr>
        <w:pStyle w:val="Normal"/>
        <w:ind w:left="1440" w:hanging="0"/>
        <w:jc w:val="both"/>
        <w:rPr>
          <w:rFonts w:ascii="Courier New" w:hAnsi="Courier New" w:cs="Courier New"/>
          <w:sz w:val="18"/>
        </w:rPr>
      </w:pPr>
      <w:r>
        <w:rPr>
          <w:rFonts w:cs="Courier New" w:ascii="Courier New" w:hAnsi="Courier New"/>
          <w:sz w:val="18"/>
        </w:rPr>
        <w:t>thermal conductivity     DVALUE ;</w:t>
      </w:r>
    </w:p>
    <w:p>
      <w:pPr>
        <w:pStyle w:val="Normal"/>
        <w:ind w:left="1440" w:hanging="0"/>
        <w:jc w:val="both"/>
        <w:rPr>
          <w:rFonts w:ascii="Courier New" w:hAnsi="Courier New" w:cs="Courier New"/>
          <w:sz w:val="18"/>
        </w:rPr>
      </w:pPr>
      <w:r>
        <w:rPr>
          <w:rFonts w:cs="Courier New" w:ascii="Courier New" w:hAnsi="Courier New"/>
          <w:sz w:val="18"/>
        </w:rPr>
        <w:t>volumetric heat capacity DVALUE ;</w:t>
      </w:r>
    </w:p>
    <w:p>
      <w:pPr>
        <w:pStyle w:val="Normal"/>
        <w:jc w:val="both"/>
        <w:rPr/>
      </w:pPr>
      <w:r>
        <w:rPr/>
        <w:t>where</w:t>
      </w:r>
    </w:p>
    <w:p>
      <w:pPr>
        <w:pStyle w:val="ListParagraph"/>
        <w:numPr>
          <w:ilvl w:val="0"/>
          <w:numId w:val="6"/>
        </w:numPr>
        <w:jc w:val="both"/>
        <w:rPr/>
      </w:pPr>
      <w:r>
        <w:rPr>
          <w:rFonts w:cs="Courier New" w:ascii="Courier New" w:hAnsi="Courier New"/>
          <w:sz w:val="18"/>
        </w:rPr>
        <w:t>MATERIAL_ID</w:t>
      </w:r>
      <w:r>
        <w:rPr/>
        <w:t xml:space="preserve"> is a unique identifier to refer to this material,</w:t>
      </w:r>
    </w:p>
    <w:p>
      <w:pPr>
        <w:pStyle w:val="ListParagraph"/>
        <w:numPr>
          <w:ilvl w:val="0"/>
          <w:numId w:val="6"/>
        </w:numPr>
        <w:jc w:val="both"/>
        <w:rPr/>
      </w:pPr>
      <w:r>
        <w:rPr>
          <w:rFonts w:cs="Courier New" w:ascii="Courier New" w:hAnsi="Courier New"/>
          <w:sz w:val="18"/>
        </w:rPr>
        <w:t>thermal conductivity</w:t>
      </w:r>
      <w:r>
        <w:rPr/>
        <w:t xml:space="preserve"> is expressed in W/</w:t>
      </w:r>
      <w:bookmarkStart w:id="83" w:name="__DdeLink__2639_4214130128"/>
      <w:r>
        <w:rPr>
          <w:rFonts w:cs="Calibri" w:cstheme="minorHAnsi"/>
        </w:rPr>
        <w:t>μ</w:t>
      </w:r>
      <w:r>
        <w:rPr/>
        <w:t>m</w:t>
      </w:r>
      <w:bookmarkEnd w:id="83"/>
      <w:r>
        <w:rPr/>
        <w:t xml:space="preserve"> K ,</w:t>
      </w:r>
    </w:p>
    <w:p>
      <w:pPr>
        <w:pStyle w:val="ListParagraph"/>
        <w:numPr>
          <w:ilvl w:val="0"/>
          <w:numId w:val="6"/>
        </w:numPr>
        <w:jc w:val="both"/>
        <w:rPr/>
      </w:pPr>
      <w:r>
        <w:rPr>
          <w:rFonts w:cs="Courier New" w:ascii="Courier New" w:hAnsi="Courier New"/>
          <w:sz w:val="18"/>
        </w:rPr>
        <w:t>volumetric heat capacity</w:t>
      </w:r>
      <w:r>
        <w:rPr/>
        <w:t xml:space="preserve"> is expressed in J/</w:t>
      </w:r>
      <w:r>
        <w:rPr>
          <w:rFonts w:cs="Calibri" w:cstheme="minorHAnsi"/>
        </w:rPr>
        <w:t>μ</w:t>
      </w:r>
      <w:r>
        <w:rPr/>
        <w:t>m</w:t>
      </w:r>
      <w:r>
        <w:rPr>
          <w:vertAlign w:val="superscript"/>
        </w:rPr>
        <w:t>3</w:t>
      </w:r>
      <w:r>
        <w:rPr/>
        <w:t>K.</w:t>
      </w:r>
    </w:p>
    <w:p>
      <w:pPr>
        <w:pStyle w:val="Normal"/>
        <w:jc w:val="both"/>
        <w:rPr/>
      </w:pPr>
      <w:r>
        <w:rPr/>
        <w:t>Materials declared here but not used in the following sections (channel, dies or stack) will be reported with a warning message (</w:t>
      </w:r>
      <w:r>
        <w:rPr>
          <w:rFonts w:cs="Courier New" w:ascii="Courier New" w:hAnsi="Courier New"/>
          <w:sz w:val="18"/>
        </w:rPr>
        <w:t>stderr</w:t>
      </w:r>
      <w:r>
        <w:rPr/>
        <w:t>).</w:t>
      </w:r>
    </w:p>
    <w:p>
      <w:pPr>
        <w:pStyle w:val="Normal"/>
        <w:jc w:val="both"/>
        <w:rPr/>
      </w:pPr>
      <w:r>
        <w:rPr/>
      </w:r>
    </w:p>
    <w:tbl>
      <w:tblPr>
        <w:tblStyle w:val="Tabellenraster"/>
        <w:tblW w:w="957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7037"/>
        <w:gridCol w:w="2538"/>
      </w:tblGrid>
      <w:tr>
        <w:trPr/>
        <w:tc>
          <w:tcPr>
            <w:tcW w:w="7037" w:type="dxa"/>
            <w:tcBorders>
              <w:bottom w:val="nil"/>
              <w:right w:val="nil"/>
            </w:tcBorders>
            <w:shd w:fill="auto" w:val="clear"/>
          </w:tcPr>
          <w:p>
            <w:pPr>
              <w:pStyle w:val="Normal"/>
              <w:widowControl w:val="false"/>
              <w:spacing w:lineRule="auto" w:line="240" w:before="0" w:after="0"/>
              <w:jc w:val="both"/>
              <w:rPr>
                <w:b/>
                <w:b/>
              </w:rPr>
            </w:pPr>
            <w:r>
              <w:rPr>
                <w:b/>
                <w:sz w:val="20"/>
              </w:rPr>
              <w:t>Example</w:t>
            </w:r>
          </w:p>
        </w:tc>
        <w:tc>
          <w:tcPr>
            <w:tcW w:w="2538" w:type="dxa"/>
            <w:tcBorders>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right w:val="nil"/>
            </w:tcBorders>
            <w:shd w:fill="auto" w:val="clear"/>
          </w:tcPr>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material SILICON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thermal conductivity     1.300e-04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volumetric heat capacity 1.628e-12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20"/>
              </w:rPr>
            </w:r>
          </w:p>
        </w:tc>
        <w:tc>
          <w:tcPr>
            <w:tcW w:w="2538" w:type="dxa"/>
            <w:tcBorders>
              <w:top w:val="nil"/>
              <w:left w:val="nil"/>
            </w:tcBorders>
            <w:shd w:fill="auto" w:val="clear"/>
            <w:tcMar>
              <w:left w:w="113" w:type="dxa"/>
            </w:tcMar>
          </w:tcPr>
          <w:p>
            <w:pPr>
              <w:pStyle w:val="Normal"/>
              <w:widowControl w:val="false"/>
              <w:spacing w:lineRule="auto" w:line="240" w:before="0" w:after="0"/>
              <w:jc w:val="both"/>
              <w:rPr>
                <w:sz w:val="20"/>
              </w:rPr>
            </w:pPr>
            <w:r>
              <w:rPr>
                <w:sz w:val="20"/>
              </w:rPr>
            </w:r>
          </w:p>
        </w:tc>
      </w:tr>
    </w:tbl>
    <w:p>
      <w:pPr>
        <w:pStyle w:val="Heading3"/>
        <w:numPr>
          <w:ilvl w:val="0"/>
          <w:numId w:val="22"/>
        </w:numPr>
        <w:ind w:left="426" w:hanging="142"/>
        <w:rPr/>
      </w:pPr>
      <w:bookmarkStart w:id="84" w:name="__RefHeading___Toc2971_2393532176"/>
      <w:bookmarkStart w:id="85" w:name="_Toc442446446"/>
      <w:bookmarkEnd w:id="84"/>
      <w:bookmarkEnd w:id="85"/>
      <w:r>
        <w:rPr/>
        <w:t>Layers</w:t>
      </w:r>
    </w:p>
    <w:p>
      <w:pPr>
        <w:pStyle w:val="Normal"/>
        <w:jc w:val="both"/>
        <w:rPr/>
      </w:pPr>
      <w:r>
        <w:rPr/>
        <w:t>A layer is a horizontal section of the stack with a given thickness and made by a given material. A layer declared in this section can be further cited/used when declaring the sequence of stacked elements in the 3D IC later in the file. Layers declared in this optional section of the file can be referred only in the stack section but not when declaring a die. Layers can be declared with the following syntax:</w:t>
      </w:r>
    </w:p>
    <w:p>
      <w:pPr>
        <w:pStyle w:val="Normal"/>
        <w:ind w:left="720" w:hanging="0"/>
        <w:jc w:val="both"/>
        <w:rPr>
          <w:rFonts w:ascii="Courier New" w:hAnsi="Courier New" w:cs="Courier New"/>
          <w:sz w:val="18"/>
        </w:rPr>
      </w:pPr>
      <w:r>
        <w:rPr>
          <w:rFonts w:cs="Courier New" w:ascii="Courier New" w:hAnsi="Courier New"/>
          <w:sz w:val="18"/>
        </w:rPr>
        <w:t>layer LAYER_ID :</w:t>
      </w:r>
    </w:p>
    <w:p>
      <w:pPr>
        <w:pStyle w:val="Normal"/>
        <w:ind w:left="1440" w:hanging="0"/>
        <w:jc w:val="both"/>
        <w:rPr>
          <w:rFonts w:ascii="Courier New" w:hAnsi="Courier New" w:cs="Courier New"/>
          <w:sz w:val="18"/>
        </w:rPr>
      </w:pPr>
      <w:r>
        <w:rPr>
          <w:rFonts w:cs="Courier New" w:ascii="Courier New" w:hAnsi="Courier New"/>
          <w:sz w:val="18"/>
        </w:rPr>
        <w:t>height</w:t>
        <w:tab/>
        <w:tab/>
        <w:t>DVALUE ;</w:t>
      </w:r>
    </w:p>
    <w:p>
      <w:pPr>
        <w:pStyle w:val="Normal"/>
        <w:ind w:left="1440" w:hanging="0"/>
        <w:jc w:val="both"/>
        <w:rPr>
          <w:rFonts w:ascii="Courier New" w:hAnsi="Courier New" w:cs="Courier New"/>
          <w:sz w:val="18"/>
        </w:rPr>
      </w:pPr>
      <w:r>
        <w:rPr>
          <w:rFonts w:cs="Courier New" w:ascii="Courier New" w:hAnsi="Courier New"/>
          <w:sz w:val="18"/>
        </w:rPr>
        <w:t>material</w:t>
        <w:tab/>
        <w:t>MATERIAL_ID ;</w:t>
      </w:r>
    </w:p>
    <w:p>
      <w:pPr>
        <w:pStyle w:val="Normal"/>
        <w:jc w:val="both"/>
        <w:rPr/>
      </w:pPr>
      <w:r>
        <w:rPr/>
        <w:t>where</w:t>
      </w:r>
    </w:p>
    <w:p>
      <w:pPr>
        <w:pStyle w:val="ListParagraph"/>
        <w:numPr>
          <w:ilvl w:val="0"/>
          <w:numId w:val="6"/>
        </w:numPr>
        <w:jc w:val="both"/>
        <w:rPr/>
      </w:pPr>
      <w:r>
        <w:rPr>
          <w:rFonts w:cs="Courier New" w:ascii="Courier New" w:hAnsi="Courier New"/>
          <w:sz w:val="18"/>
        </w:rPr>
        <w:t>LAYER_ID</w:t>
      </w:r>
      <w:r>
        <w:rPr/>
        <w:t xml:space="preserve"> is a unique identifier to refer to this layer,</w:t>
      </w:r>
    </w:p>
    <w:p>
      <w:pPr>
        <w:pStyle w:val="ListParagraph"/>
        <w:numPr>
          <w:ilvl w:val="0"/>
          <w:numId w:val="6"/>
        </w:numPr>
        <w:jc w:val="both"/>
        <w:rPr/>
      </w:pPr>
      <w:r>
        <w:rPr>
          <w:rFonts w:cs="Courier New" w:ascii="Courier New" w:hAnsi="Courier New"/>
          <w:sz w:val="18"/>
        </w:rPr>
        <w:t>height</w:t>
      </w:r>
      <w:r>
        <w:rPr/>
        <w:t xml:space="preserve"> is expressed in </w:t>
      </w:r>
      <w:r>
        <w:rPr>
          <w:rFonts w:cs="Calibri" w:cstheme="minorHAnsi"/>
        </w:rPr>
        <w:t>μ</w:t>
      </w:r>
      <w:r>
        <w:rPr/>
        <w:t>m,</w:t>
      </w:r>
    </w:p>
    <w:p>
      <w:pPr>
        <w:pStyle w:val="ListParagraph"/>
        <w:numPr>
          <w:ilvl w:val="0"/>
          <w:numId w:val="6"/>
        </w:numPr>
        <w:jc w:val="both"/>
        <w:rPr/>
      </w:pPr>
      <w:r>
        <w:rPr>
          <w:rFonts w:cs="Courier New" w:ascii="Courier New" w:hAnsi="Courier New"/>
          <w:sz w:val="18"/>
        </w:rPr>
        <w:t>MARIAL_ID</w:t>
      </w:r>
      <w:r>
        <w:rPr/>
        <w:t xml:space="preserve"> is the (previously declared) identifier of the material composing the layer.</w:t>
      </w:r>
    </w:p>
    <w:tbl>
      <w:tblPr>
        <w:tblStyle w:val="Tabellenraster"/>
        <w:tblW w:w="957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7037"/>
        <w:gridCol w:w="2538"/>
      </w:tblGrid>
      <w:tr>
        <w:trPr/>
        <w:tc>
          <w:tcPr>
            <w:tcW w:w="7037" w:type="dxa"/>
            <w:tcBorders>
              <w:bottom w:val="nil"/>
              <w:right w:val="nil"/>
            </w:tcBorders>
            <w:shd w:fill="auto" w:val="clear"/>
          </w:tcPr>
          <w:p>
            <w:pPr>
              <w:pStyle w:val="Normal"/>
              <w:widowControl w:val="false"/>
              <w:spacing w:lineRule="auto" w:line="240" w:before="0" w:after="0"/>
              <w:jc w:val="both"/>
              <w:rPr>
                <w:b/>
                <w:b/>
              </w:rPr>
            </w:pPr>
            <w:r>
              <w:rPr>
                <w:b/>
                <w:sz w:val="20"/>
              </w:rPr>
              <w:t>Example</w:t>
            </w:r>
          </w:p>
        </w:tc>
        <w:tc>
          <w:tcPr>
            <w:tcW w:w="2538" w:type="dxa"/>
            <w:tcBorders>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right w:val="nil"/>
            </w:tcBorders>
            <w:shd w:fill="auto" w:val="clear"/>
          </w:tcPr>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PCB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height 10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20"/>
              </w:rPr>
            </w:r>
          </w:p>
        </w:tc>
        <w:tc>
          <w:tcPr>
            <w:tcW w:w="2538" w:type="dxa"/>
            <w:tcBorders>
              <w:top w:val="nil"/>
              <w:left w:val="nil"/>
            </w:tcBorders>
            <w:shd w:fill="auto" w:val="clear"/>
            <w:tcMar>
              <w:left w:w="113" w:type="dxa"/>
            </w:tcMar>
          </w:tcPr>
          <w:p>
            <w:pPr>
              <w:pStyle w:val="Normal"/>
              <w:widowControl w:val="false"/>
              <w:spacing w:lineRule="auto" w:line="240" w:before="0" w:after="0"/>
              <w:jc w:val="both"/>
              <w:rPr>
                <w:sz w:val="20"/>
              </w:rPr>
            </w:pPr>
            <w:r>
              <w:rPr>
                <w:sz w:val="20"/>
              </w:rPr>
            </w:r>
          </w:p>
        </w:tc>
      </w:tr>
    </w:tbl>
    <w:p>
      <w:pPr>
        <w:pStyle w:val="Normal"/>
        <w:jc w:val="both"/>
        <w:rPr/>
      </w:pPr>
      <w:r>
        <w:rPr/>
      </w:r>
    </w:p>
    <w:p>
      <w:pPr>
        <w:pStyle w:val="Heading3"/>
        <w:numPr>
          <w:ilvl w:val="0"/>
          <w:numId w:val="22"/>
        </w:numPr>
        <w:ind w:left="426" w:hanging="142"/>
        <w:rPr/>
      </w:pPr>
      <w:bookmarkStart w:id="86" w:name="__RefHeading___Toc2973_2393532176"/>
      <w:bookmarkStart w:id="87" w:name="_Toc442446447"/>
      <w:bookmarkEnd w:id="86"/>
      <w:bookmarkEnd w:id="87"/>
      <w:r>
        <w:rPr/>
        <w:t>Dies</w:t>
      </w:r>
    </w:p>
    <w:p>
      <w:pPr>
        <w:pStyle w:val="Normal"/>
        <w:jc w:val="both"/>
        <w:rPr/>
      </w:pPr>
      <w:r>
        <w:rPr/>
        <w:t xml:space="preserve">A die is a group of layersstacked together to form a single entity that is used when declaring the sequence of stacked elements of the 3D IC later in the file. This can represent an actual IC die in the stack. You can declare multiple dies, and use a single die multiple times during the stack description. The Dies section is mandatoryand must contain at least one die element. A die must contain one </w:t>
      </w:r>
      <w:r>
        <w:rPr>
          <w:i/>
        </w:rPr>
        <w:t>source</w:t>
      </w:r>
      <w:r>
        <w:rPr/>
        <w:t xml:space="preserve"> layer (the term </w:t>
      </w:r>
      <w:r>
        <w:rPr>
          <w:i/>
        </w:rPr>
        <w:t>source</w:t>
      </w:r>
      <w:r>
        <w:rPr/>
        <w:t xml:space="preserve"> layer is used to denote those layers of the stack which contain active electronic components, and hence, provide the heat source for the simulation) and zero or more passive layers. The source layer can be placed at any location in the stack of layers in a die.</w:t>
      </w:r>
    </w:p>
    <w:p>
      <w:pPr>
        <w:pStyle w:val="Normal"/>
        <w:ind w:left="720" w:hanging="0"/>
        <w:jc w:val="both"/>
        <w:rPr>
          <w:rFonts w:ascii="Courier New" w:hAnsi="Courier New" w:cs="Courier New"/>
          <w:sz w:val="18"/>
        </w:rPr>
      </w:pPr>
      <w:r>
        <w:rPr>
          <w:rFonts w:cs="Courier New" w:ascii="Courier New" w:hAnsi="Courier New"/>
          <w:sz w:val="18"/>
        </w:rPr>
        <w:t>die DIE_ID :</w:t>
      </w:r>
    </w:p>
    <w:p>
      <w:pPr>
        <w:pStyle w:val="Normal"/>
        <w:ind w:left="1440" w:hanging="0"/>
        <w:jc w:val="both"/>
        <w:rPr>
          <w:rFonts w:ascii="Courier New" w:hAnsi="Courier New" w:cs="Courier New"/>
          <w:sz w:val="18"/>
        </w:rPr>
      </w:pPr>
      <w:r>
        <w:rPr>
          <w:rFonts w:cs="Courier New" w:ascii="Courier New" w:hAnsi="Courier New"/>
          <w:sz w:val="18"/>
        </w:rPr>
        <w:t>[layer  IVALUE MATERIAL_ID ; ]*</w:t>
      </w:r>
    </w:p>
    <w:p>
      <w:pPr>
        <w:pStyle w:val="Normal"/>
        <w:ind w:left="1440" w:hanging="0"/>
        <w:jc w:val="both"/>
        <w:rPr>
          <w:rFonts w:ascii="Courier New" w:hAnsi="Courier New" w:cs="Courier New"/>
          <w:sz w:val="18"/>
        </w:rPr>
      </w:pPr>
      <w:r>
        <w:rPr>
          <w:rFonts w:cs="Courier New" w:ascii="Courier New" w:hAnsi="Courier New"/>
          <w:sz w:val="18"/>
        </w:rPr>
        <w:t>source IVALUE MATERIAL_ID ;</w:t>
      </w:r>
    </w:p>
    <w:p>
      <w:pPr>
        <w:pStyle w:val="Normal"/>
        <w:ind w:left="1440" w:hanging="0"/>
        <w:jc w:val="both"/>
        <w:rPr>
          <w:rFonts w:ascii="Courier New" w:hAnsi="Courier New" w:cs="Courier New"/>
          <w:sz w:val="18"/>
        </w:rPr>
      </w:pPr>
      <w:r>
        <w:rPr>
          <w:rFonts w:cs="Courier New" w:ascii="Courier New" w:hAnsi="Courier New"/>
          <w:sz w:val="18"/>
        </w:rPr>
        <w:t>[layer  IVALUE MATERIAL_ID ; ]*</w:t>
      </w:r>
    </w:p>
    <w:p>
      <w:pPr>
        <w:pStyle w:val="Normal"/>
        <w:jc w:val="both"/>
        <w:rPr/>
      </w:pPr>
      <w:r>
        <w:rPr/>
        <w:t>where</w:t>
      </w:r>
    </w:p>
    <w:p>
      <w:pPr>
        <w:pStyle w:val="ListParagraph"/>
        <w:numPr>
          <w:ilvl w:val="0"/>
          <w:numId w:val="8"/>
        </w:numPr>
        <w:jc w:val="both"/>
        <w:rPr/>
      </w:pPr>
      <w:r>
        <w:rPr>
          <w:rFonts w:cs="Courier New" w:ascii="Courier New" w:hAnsi="Courier New"/>
          <w:sz w:val="18"/>
        </w:rPr>
        <w:t>DIE_ID</w:t>
      </w:r>
      <w:r>
        <w:rPr/>
        <w:t xml:space="preserve"> is the unique identifier used to refer to the declared die,</w:t>
      </w:r>
    </w:p>
    <w:p>
      <w:pPr>
        <w:pStyle w:val="ListParagraph"/>
        <w:numPr>
          <w:ilvl w:val="0"/>
          <w:numId w:val="8"/>
        </w:numPr>
        <w:jc w:val="both"/>
        <w:rPr/>
      </w:pPr>
      <w:r>
        <w:rPr>
          <w:rFonts w:cs="Courier New" w:ascii="Courier New" w:hAnsi="Courier New"/>
          <w:sz w:val="18"/>
        </w:rPr>
        <w:t>IVALUE</w:t>
      </w:r>
      <w:r>
        <w:rPr/>
        <w:t xml:space="preserve"> is the height of the layer (in </w:t>
      </w:r>
      <w:r>
        <w:rPr>
          <w:rFonts w:cs="Calibri" w:cstheme="minorHAnsi"/>
        </w:rPr>
        <w:t>µ</w:t>
      </w:r>
      <w:r>
        <w:rPr/>
        <w:t>m),</w:t>
      </w:r>
    </w:p>
    <w:p>
      <w:pPr>
        <w:pStyle w:val="ListParagraph"/>
        <w:numPr>
          <w:ilvl w:val="0"/>
          <w:numId w:val="8"/>
        </w:numPr>
        <w:jc w:val="both"/>
        <w:rPr/>
      </w:pPr>
      <w:r>
        <w:rPr>
          <w:rFonts w:cs="Courier New" w:ascii="Courier New" w:hAnsi="Courier New"/>
          <w:sz w:val="18"/>
        </w:rPr>
        <w:t>MATERIAL_ID</w:t>
      </w:r>
      <w:r>
        <w:rPr/>
        <w:t xml:space="preserve"> is the (previously declared)identifier of the material composing the layer.</w:t>
      </w:r>
    </w:p>
    <w:p>
      <w:pPr>
        <w:pStyle w:val="Normal"/>
        <w:jc w:val="both"/>
        <w:rPr/>
      </w:pPr>
      <w:r>
        <w:rPr/>
        <w:t>The order of the layers within the die reflects their vertical disposition in the 3D IC, i.e., the first layer declared is the top most layer in the die (closer to the ambient) while the last one is the one at the bottom (closer to the PCB). Two examples of die declaration and their illustrations (not to scale) are shown below.</w:t>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2882"/>
        <w:gridCol w:w="6767"/>
      </w:tblGrid>
      <w:tr>
        <w:trPr/>
        <w:tc>
          <w:tcPr>
            <w:tcW w:w="2882" w:type="dxa"/>
            <w:tcBorders>
              <w:bottom w:val="nil"/>
              <w:right w:val="nil"/>
            </w:tcBorders>
            <w:shd w:fill="auto" w:val="clear"/>
            <w:vAlign w:val="center"/>
          </w:tcPr>
          <w:p>
            <w:pPr>
              <w:pStyle w:val="Normal"/>
              <w:widowControl w:val="false"/>
              <w:spacing w:lineRule="auto" w:line="240" w:before="0" w:after="0"/>
              <w:jc w:val="both"/>
              <w:rPr>
                <w:b/>
                <w:b/>
              </w:rPr>
            </w:pPr>
            <w:r>
              <w:rPr>
                <w:b/>
                <w:sz w:val="20"/>
              </w:rPr>
              <w:t>Example</w:t>
            </w:r>
          </w:p>
          <w:p>
            <w:pPr>
              <w:pStyle w:val="Normal"/>
              <w:widowControl w:val="false"/>
              <w:spacing w:lineRule="auto" w:line="240" w:before="0" w:after="0"/>
              <w:jc w:val="both"/>
              <w:rPr>
                <w:sz w:val="20"/>
              </w:rPr>
            </w:pPr>
            <w:r>
              <w:rPr>
                <w:sz w:val="20"/>
              </w:rPr>
            </w:r>
          </w:p>
          <w:p>
            <w:pPr>
              <w:pStyle w:val="Normal"/>
              <w:widowControl w:val="false"/>
              <w:spacing w:lineRule="auto" w:line="240" w:before="0" w:after="0"/>
              <w:jc w:val="both"/>
              <w:rPr>
                <w:sz w:val="20"/>
              </w:rPr>
            </w:pPr>
            <w:r>
              <w:rPr>
                <w:sz w:val="20"/>
              </w:rPr>
            </w:r>
          </w:p>
        </w:tc>
        <w:tc>
          <w:tcPr>
            <w:tcW w:w="6767"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c>
          <w:tcPr>
            <w:tcW w:w="2882"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TOP_IC: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50 SILICON;</w:t>
            </w:r>
          </w:p>
        </w:tc>
        <w:tc>
          <w:tcPr>
            <w:tcW w:w="6767" w:type="dxa"/>
            <w:tcBorders>
              <w:top w:val="nil"/>
              <w:left w:val="nil"/>
              <w:bottom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3425190" cy="1017905"/>
                  <wp:effectExtent l="0" t="0" r="0" b="0"/>
                  <wp:docPr id="1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descr=""/>
                          <pic:cNvPicPr>
                            <a:picLocks noChangeAspect="1" noChangeArrowheads="1"/>
                          </pic:cNvPicPr>
                        </pic:nvPicPr>
                        <pic:blipFill>
                          <a:blip r:embed="rId16"/>
                          <a:stretch>
                            <a:fillRect/>
                          </a:stretch>
                        </pic:blipFill>
                        <pic:spPr bwMode="auto">
                          <a:xfrm>
                            <a:off x="0" y="0"/>
                            <a:ext cx="3425190" cy="1017905"/>
                          </a:xfrm>
                          <a:prstGeom prst="rect">
                            <a:avLst/>
                          </a:prstGeom>
                        </pic:spPr>
                      </pic:pic>
                    </a:graphicData>
                  </a:graphic>
                </wp:inline>
              </w:drawing>
            </w:r>
          </w:p>
          <w:p>
            <w:pPr>
              <w:pStyle w:val="Caption1"/>
              <w:widowControl w:val="false"/>
              <w:spacing w:before="0" w:after="0"/>
              <w:jc w:val="center"/>
              <w:rPr/>
            </w:pPr>
            <w:r>
              <w:rPr/>
              <w:t xml:space="preserve">Figure </w:t>
            </w:r>
            <w:r>
              <w:rPr/>
              <w:fldChar w:fldCharType="begin"/>
            </w:r>
            <w:r>
              <w:rPr/>
              <w:instrText> SEQ Figure \* ARABIC </w:instrText>
            </w:r>
            <w:r>
              <w:rPr/>
              <w:fldChar w:fldCharType="separate"/>
            </w:r>
            <w:r>
              <w:rPr/>
              <w:t>7</w:t>
            </w:r>
            <w:r>
              <w:rPr/>
              <w:fldChar w:fldCharType="end"/>
            </w:r>
            <w:r>
              <w:rPr/>
              <w:t>: A 2-layer die</w:t>
            </w:r>
          </w:p>
          <w:p>
            <w:pPr>
              <w:pStyle w:val="Normal"/>
              <w:widowControl w:val="false"/>
              <w:spacing w:before="0" w:after="0"/>
              <w:jc w:val="center"/>
              <w:rPr>
                <w:sz w:val="20"/>
              </w:rPr>
            </w:pPr>
            <w:r>
              <w:rPr>
                <w:sz w:val="20"/>
              </w:rPr>
            </w:r>
          </w:p>
        </w:tc>
      </w:tr>
      <w:tr>
        <w:trPr/>
        <w:tc>
          <w:tcPr>
            <w:tcW w:w="2882" w:type="dxa"/>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BOTTOM_IC: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10 BEOL;</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both"/>
              <w:rPr/>
            </w:pPr>
            <w:r>
              <w:rPr>
                <w:rFonts w:cs="Courier New" w:ascii="Courier New" w:hAnsi="Courier New"/>
                <w:sz w:val="18"/>
              </w:rPr>
              <w:t>layer 50 SILICON;</w:t>
            </w:r>
          </w:p>
        </w:tc>
        <w:tc>
          <w:tcPr>
            <w:tcW w:w="6767" w:type="dxa"/>
            <w:tcBorders>
              <w:top w:val="nil"/>
              <w:left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3443605" cy="1092200"/>
                  <wp:effectExtent l="0" t="0" r="0" b="0"/>
                  <wp:docPr id="14"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 descr=""/>
                          <pic:cNvPicPr>
                            <a:picLocks noChangeAspect="1" noChangeArrowheads="1"/>
                          </pic:cNvPicPr>
                        </pic:nvPicPr>
                        <pic:blipFill>
                          <a:blip r:embed="rId17"/>
                          <a:stretch>
                            <a:fillRect/>
                          </a:stretch>
                        </pic:blipFill>
                        <pic:spPr bwMode="auto">
                          <a:xfrm>
                            <a:off x="0" y="0"/>
                            <a:ext cx="3443605" cy="1092200"/>
                          </a:xfrm>
                          <a:prstGeom prst="rect">
                            <a:avLst/>
                          </a:prstGeom>
                        </pic:spPr>
                      </pic:pic>
                    </a:graphicData>
                  </a:graphic>
                </wp:inline>
              </w:drawing>
            </w:r>
          </w:p>
          <w:p>
            <w:pPr>
              <w:pStyle w:val="Caption1"/>
              <w:widowControl w:val="false"/>
              <w:spacing w:before="0" w:after="0"/>
              <w:jc w:val="center"/>
              <w:rPr/>
            </w:pPr>
            <w:r>
              <w:rPr/>
              <w:t xml:space="preserve">Figure </w:t>
            </w:r>
            <w:r>
              <w:rPr/>
              <w:fldChar w:fldCharType="begin"/>
            </w:r>
            <w:r>
              <w:rPr/>
              <w:instrText> SEQ Figure \* ARABIC </w:instrText>
            </w:r>
            <w:r>
              <w:rPr/>
              <w:fldChar w:fldCharType="separate"/>
            </w:r>
            <w:r>
              <w:rPr/>
              <w:t>8</w:t>
            </w:r>
            <w:r>
              <w:rPr/>
              <w:fldChar w:fldCharType="end"/>
            </w:r>
            <w:r>
              <w:rPr/>
              <w:t>: A 3-layer die</w:t>
            </w:r>
          </w:p>
        </w:tc>
      </w:tr>
    </w:tbl>
    <w:p>
      <w:pPr>
        <w:pStyle w:val="Heading3"/>
        <w:numPr>
          <w:ilvl w:val="0"/>
          <w:numId w:val="22"/>
        </w:numPr>
        <w:ind w:left="426" w:hanging="142"/>
        <w:rPr/>
      </w:pPr>
      <w:bookmarkStart w:id="88" w:name="__RefHeading___Toc2975_2393532176"/>
      <w:bookmarkStart w:id="89" w:name="_Toc442446448"/>
      <w:bookmarkEnd w:id="88"/>
      <w:bookmarkEnd w:id="89"/>
      <w:r>
        <w:rPr/>
        <w:t>Heat Sink</w:t>
      </w:r>
    </w:p>
    <w:p>
      <w:pPr>
        <w:pStyle w:val="Normal"/>
        <w:jc w:val="both"/>
        <w:rPr/>
      </w:pPr>
      <w:r>
        <w:rPr/>
        <w:t>This is an optional section to model convective heat exchange with the surrounding environment and heat dissipation of the IC through the PCB.  All the faces of the 3D IC stack are modeled as adiabatic walls by default. When the top or bottom Heat Sink is specified, the corresponding surface of the stack is connected to the ambient via a thermal resistance.</w:t>
      </w:r>
    </w:p>
    <w:p>
      <w:pPr>
        <w:pStyle w:val="Normal"/>
        <w:jc w:val="both"/>
        <w:rPr/>
      </w:pPr>
      <w:r>
        <w:rPr/>
        <w:t xml:space="preserve">The syntax to add a connection between the IC top and the ambient to simulate convective heat exchange is: </w:t>
      </w:r>
    </w:p>
    <w:p>
      <w:pPr>
        <w:pStyle w:val="Normal"/>
        <w:ind w:left="720" w:hanging="0"/>
        <w:jc w:val="both"/>
        <w:rPr/>
      </w:pPr>
      <w:r>
        <w:rPr>
          <w:rFonts w:cs="Courier New" w:ascii="Courier New" w:hAnsi="Courier New"/>
          <w:sz w:val="18"/>
        </w:rPr>
        <w:t>top heat sink :</w:t>
      </w:r>
    </w:p>
    <w:p>
      <w:pPr>
        <w:pStyle w:val="Normal"/>
        <w:ind w:left="1440" w:hanging="0"/>
        <w:jc w:val="both"/>
        <w:rPr>
          <w:rFonts w:ascii="Courier New" w:hAnsi="Courier New" w:cs="Courier New"/>
          <w:sz w:val="18"/>
        </w:rPr>
      </w:pPr>
      <w:r>
        <w:rPr>
          <w:rFonts w:cs="Courier New" w:ascii="Courier New" w:hAnsi="Courier New"/>
          <w:sz w:val="18"/>
        </w:rPr>
        <w:t>heat transfer coefficient DVALUE ;</w:t>
      </w:r>
    </w:p>
    <w:p>
      <w:pPr>
        <w:pStyle w:val="Normal"/>
        <w:ind w:left="1440" w:hanging="0"/>
        <w:jc w:val="both"/>
        <w:rPr/>
      </w:pPr>
      <w:r>
        <w:rPr>
          <w:rFonts w:cs="Courier New" w:ascii="Courier New" w:hAnsi="Courier New"/>
          <w:sz w:val="18"/>
        </w:rPr>
        <w:t>temperature DVALUE ;</w:t>
      </w:r>
    </w:p>
    <w:p>
      <w:pPr>
        <w:pStyle w:val="Normal"/>
        <w:jc w:val="both"/>
        <w:rPr/>
      </w:pPr>
      <w:r>
        <w:rPr/>
        <w:t>The syntax to add a connection between the IC bottom and the ambient to simulate heat exchange through the PCB is:</w:t>
      </w:r>
    </w:p>
    <w:p>
      <w:pPr>
        <w:pStyle w:val="Normal"/>
        <w:jc w:val="both"/>
        <w:rPr/>
      </w:pPr>
      <w:r>
        <w:rPr/>
      </w:r>
    </w:p>
    <w:p>
      <w:pPr>
        <w:pStyle w:val="Normal"/>
        <w:ind w:left="720" w:hanging="0"/>
        <w:jc w:val="both"/>
        <w:rPr/>
      </w:pPr>
      <w:r>
        <w:rPr>
          <w:rFonts w:cs="Courier New" w:ascii="Courier New" w:hAnsi="Courier New"/>
          <w:sz w:val="18"/>
        </w:rPr>
        <w:t>bottom heat sink :</w:t>
      </w:r>
    </w:p>
    <w:p>
      <w:pPr>
        <w:pStyle w:val="Normal"/>
        <w:ind w:left="1440" w:hanging="0"/>
        <w:jc w:val="both"/>
        <w:rPr/>
      </w:pPr>
      <w:r>
        <w:rPr>
          <w:rFonts w:cs="Courier New" w:ascii="Courier New" w:hAnsi="Courier New"/>
          <w:sz w:val="18"/>
        </w:rPr>
        <w:t>heat transfer coefficient DVALUE ;</w:t>
      </w:r>
    </w:p>
    <w:p>
      <w:pPr>
        <w:pStyle w:val="Normal"/>
        <w:ind w:left="1440" w:hanging="0"/>
        <w:jc w:val="both"/>
        <w:rPr/>
      </w:pPr>
      <w:r>
        <w:rPr>
          <w:rFonts w:cs="Courier New" w:ascii="Courier New" w:hAnsi="Courier New"/>
          <w:sz w:val="18"/>
        </w:rPr>
        <w:t>temperature DVALUE ;</w:t>
      </w:r>
    </w:p>
    <w:p>
      <w:pPr>
        <w:pStyle w:val="Normal"/>
        <w:jc w:val="both"/>
        <w:rPr/>
      </w:pPr>
      <w:r>
        <w:rPr/>
        <w:t>where</w:t>
      </w:r>
    </w:p>
    <w:p>
      <w:pPr>
        <w:pStyle w:val="ListParagraph"/>
        <w:numPr>
          <w:ilvl w:val="0"/>
          <w:numId w:val="29"/>
        </w:numPr>
        <w:jc w:val="both"/>
        <w:rPr/>
      </w:pPr>
      <w:r>
        <w:rPr>
          <w:rFonts w:cs="Courier New" w:ascii="Courier New" w:hAnsi="Courier New"/>
          <w:sz w:val="18"/>
        </w:rPr>
        <w:t>heat transfer coefficient</w:t>
      </w:r>
      <w:r>
        <w:rPr/>
        <w:t xml:space="preserve"> of the heat sink is expressed in W/</w:t>
      </w:r>
      <w:r>
        <w:rPr>
          <w:rFonts w:cs="Calibri" w:cstheme="minorHAnsi"/>
        </w:rPr>
        <w:t>µ</w:t>
      </w:r>
      <w:r>
        <w:rPr/>
        <w:t>m</w:t>
      </w:r>
      <w:r>
        <w:rPr>
          <w:vertAlign w:val="superscript"/>
        </w:rPr>
        <w:t>2</w:t>
      </w:r>
      <w:r>
        <w:rPr/>
        <w:t>K,</w:t>
      </w:r>
    </w:p>
    <w:p>
      <w:pPr>
        <w:pStyle w:val="ListParagraph"/>
        <w:numPr>
          <w:ilvl w:val="0"/>
          <w:numId w:val="29"/>
        </w:numPr>
        <w:jc w:val="both"/>
        <w:rPr/>
      </w:pPr>
      <w:r>
        <w:rPr>
          <w:rFonts w:cs="Courier New" w:ascii="Courier New" w:hAnsi="Courier New"/>
          <w:sz w:val="18"/>
        </w:rPr>
        <w:t>temperature</w:t>
      </w:r>
      <w:r>
        <w:rPr/>
        <w:t xml:space="preserve"> is the ambient temperature expressed in K.</w:t>
      </w:r>
    </w:p>
    <w:p>
      <w:pPr>
        <w:pStyle w:val="Normal"/>
        <w:ind w:hanging="0"/>
        <w:jc w:val="both"/>
        <w:rPr/>
      </w:pPr>
      <w:r>
        <w:rPr/>
        <w:t>Both syntaxes connect the nodes of the 3D-IC directly to the environment, without adding thermal cells.</w:t>
      </w:r>
    </w:p>
    <w:tbl>
      <w:tblPr>
        <w:tblStyle w:val="Tabellenraster"/>
        <w:tblpPr w:bottomFromText="0" w:horzAnchor="margin" w:leftFromText="180" w:rightFromText="180" w:tblpX="0" w:tblpY="1120" w:topFromText="0" w:vertAnchor="text"/>
        <w:tblW w:w="9650" w:type="dxa"/>
        <w:jc w:val="left"/>
        <w:tblInd w:w="53" w:type="dxa"/>
        <w:tblLayout w:type="fixed"/>
        <w:tblCellMar>
          <w:top w:w="0" w:type="dxa"/>
          <w:left w:w="53" w:type="dxa"/>
          <w:bottom w:w="0" w:type="dxa"/>
          <w:right w:w="108" w:type="dxa"/>
        </w:tblCellMar>
        <w:tblLook w:firstRow="1" w:noVBand="1" w:lastRow="0" w:firstColumn="1" w:lastColumn="0" w:noHBand="0" w:val="04a0"/>
      </w:tblPr>
      <w:tblGrid>
        <w:gridCol w:w="4605"/>
        <w:gridCol w:w="5044"/>
      </w:tblGrid>
      <w:tr>
        <w:trPr/>
        <w:tc>
          <w:tcPr>
            <w:tcW w:w="4605" w:type="dxa"/>
            <w:tcBorders>
              <w:bottom w:val="nil"/>
              <w:right w:val="nil"/>
            </w:tcBorders>
            <w:shd w:fill="auto" w:val="clear"/>
            <w:vAlign w:val="center"/>
          </w:tcPr>
          <w:p>
            <w:pPr>
              <w:pStyle w:val="Normal"/>
              <w:widowControl w:val="false"/>
              <w:spacing w:lineRule="auto" w:line="240" w:before="0" w:after="0"/>
              <w:jc w:val="left"/>
              <w:rPr>
                <w:rFonts w:ascii="Courier New" w:hAnsi="Courier New" w:cs="Courier New"/>
                <w:b/>
                <w:b/>
                <w:sz w:val="18"/>
              </w:rPr>
            </w:pPr>
            <w:r>
              <w:rPr>
                <w:b/>
                <w:sz w:val="20"/>
              </w:rPr>
              <w:t>Example</w:t>
            </w:r>
          </w:p>
        </w:tc>
        <w:tc>
          <w:tcPr>
            <w:tcW w:w="5044" w:type="dxa"/>
            <w:tcBorders>
              <w:left w:val="nil"/>
              <w:bottom w:val="nil"/>
            </w:tcBorders>
            <w:shd w:fill="auto" w:val="clear"/>
            <w:vAlign w:val="center"/>
          </w:tcPr>
          <w:p>
            <w:pPr>
              <w:pStyle w:val="Normal"/>
              <w:keepNext w:val="true"/>
              <w:widowControl w:val="false"/>
              <w:spacing w:lineRule="auto" w:line="240" w:before="0" w:after="0"/>
              <w:jc w:val="left"/>
              <w:rPr>
                <w:sz w:val="20"/>
              </w:rPr>
            </w:pPr>
            <w:r>
              <w:rPr>
                <w:sz w:val="20"/>
              </w:rPr>
            </w:r>
          </w:p>
        </w:tc>
      </w:tr>
      <w:tr>
        <w:trPr/>
        <w:tc>
          <w:tcPr>
            <w:tcW w:w="4605" w:type="dxa"/>
            <w:tcBorders>
              <w:top w:val="nil"/>
              <w:bottom w:val="nil"/>
              <w:right w:val="nil"/>
            </w:tcBorders>
            <w:shd w:fill="auto" w:val="clear"/>
            <w:vAlign w:val="center"/>
          </w:tcPr>
          <w:p>
            <w:pPr>
              <w:pStyle w:val="Normal"/>
              <w:widowControl w:val="false"/>
              <w:spacing w:lineRule="auto" w:line="240" w:before="0" w:after="0"/>
              <w:jc w:val="both"/>
              <w:rPr/>
            </w:pPr>
            <w:r>
              <w:rPr>
                <w:rFonts w:cs="Courier New" w:ascii="Courier New" w:hAnsi="Courier New"/>
                <w:sz w:val="18"/>
              </w:rPr>
              <w:t>top heat sink:</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heat transfer coefficient 1.0e-7;</w:t>
            </w:r>
          </w:p>
          <w:p>
            <w:pPr>
              <w:pStyle w:val="Normal"/>
              <w:widowControl w:val="false"/>
              <w:spacing w:lineRule="auto" w:line="240" w:before="0" w:after="0"/>
              <w:ind w:left="720" w:hanging="0"/>
              <w:jc w:val="both"/>
              <w:rPr/>
            </w:pPr>
            <w:r>
              <w:rPr>
                <w:rFonts w:cs="Courier New" w:ascii="Courier New" w:hAnsi="Courier New"/>
                <w:sz w:val="18"/>
              </w:rPr>
              <w:t>temperature 300;</w:t>
            </w:r>
          </w:p>
        </w:tc>
        <w:tc>
          <w:tcPr>
            <w:tcW w:w="5044" w:type="dxa"/>
            <w:tcBorders>
              <w:top w:val="nil"/>
              <w:left w:val="nil"/>
              <w:bottom w:val="nil"/>
            </w:tcBorders>
            <w:shd w:fill="auto" w:val="clear"/>
            <w:vAlign w:val="center"/>
          </w:tcPr>
          <w:p>
            <w:pPr>
              <w:pStyle w:val="Normal"/>
              <w:keepNext w:val="true"/>
              <w:widowControl w:val="false"/>
              <w:spacing w:before="0" w:after="0"/>
              <w:jc w:val="center"/>
              <w:rPr>
                <w:sz w:val="20"/>
              </w:rPr>
            </w:pPr>
            <w:r>
              <w:rPr>
                <w:sz w:val="20"/>
              </w:rPr>
              <w:drawing>
                <wp:inline distT="0" distB="0" distL="0" distR="0">
                  <wp:extent cx="2901315" cy="986155"/>
                  <wp:effectExtent l="0" t="0" r="0" b="0"/>
                  <wp:docPr id="15" name="Picture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5" descr=""/>
                          <pic:cNvPicPr>
                            <a:picLocks noChangeAspect="1" noChangeArrowheads="1"/>
                          </pic:cNvPicPr>
                        </pic:nvPicPr>
                        <pic:blipFill>
                          <a:blip r:embed="rId18"/>
                          <a:stretch>
                            <a:fillRect/>
                          </a:stretch>
                        </pic:blipFill>
                        <pic:spPr bwMode="auto">
                          <a:xfrm>
                            <a:off x="0" y="0"/>
                            <a:ext cx="2901315" cy="986155"/>
                          </a:xfrm>
                          <a:prstGeom prst="rect">
                            <a:avLst/>
                          </a:prstGeom>
                        </pic:spPr>
                      </pic:pic>
                    </a:graphicData>
                  </a:graphic>
                </wp:inline>
              </w:drawing>
            </w:r>
          </w:p>
          <w:p>
            <w:pPr>
              <w:pStyle w:val="Caption1"/>
              <w:widowControl w:val="false"/>
              <w:spacing w:before="0" w:after="0"/>
              <w:jc w:val="center"/>
              <w:rPr/>
            </w:pPr>
            <w:r>
              <w:rPr/>
              <w:t xml:space="preserve">Figure </w:t>
            </w:r>
            <w:r>
              <w:rPr/>
              <w:fldChar w:fldCharType="begin"/>
            </w:r>
            <w:r>
              <w:rPr/>
              <w:instrText> SEQ Figure \* ARABIC </w:instrText>
            </w:r>
            <w:r>
              <w:rPr/>
              <w:fldChar w:fldCharType="separate"/>
            </w:r>
            <w:r>
              <w:rPr/>
              <w:t>9</w:t>
            </w:r>
            <w:r>
              <w:rPr/>
              <w:fldChar w:fldCharType="end"/>
            </w:r>
            <w:r>
              <w:rPr/>
              <w:t>: Top heat sink</w:t>
            </w:r>
          </w:p>
        </w:tc>
      </w:tr>
      <w:tr>
        <w:trPr>
          <w:trHeight w:val="335" w:hRule="atLeast"/>
        </w:trPr>
        <w:tc>
          <w:tcPr>
            <w:tcW w:w="4605" w:type="dxa"/>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tc>
        <w:tc>
          <w:tcPr>
            <w:tcW w:w="5044" w:type="dxa"/>
            <w:tcBorders>
              <w:top w:val="nil"/>
              <w:left w:val="nil"/>
            </w:tcBorders>
            <w:shd w:fill="auto" w:val="clear"/>
            <w:vAlign w:val="center"/>
          </w:tcPr>
          <w:p>
            <w:pPr>
              <w:pStyle w:val="Normal"/>
              <w:keepNext w:val="true"/>
              <w:widowControl w:val="false"/>
              <w:spacing w:lineRule="auto" w:line="240" w:before="0" w:after="0"/>
              <w:jc w:val="left"/>
              <w:rPr>
                <w:sz w:val="20"/>
              </w:rPr>
            </w:pPr>
            <w:r>
              <w:rPr>
                <w:sz w:val="20"/>
              </w:rPr>
            </w:r>
          </w:p>
        </w:tc>
      </w:tr>
    </w:tbl>
    <w:p>
      <w:pPr>
        <w:pStyle w:val="Normal"/>
        <w:jc w:val="both"/>
        <w:rPr/>
      </w:pPr>
      <w:r>
        <w:rPr/>
      </w:r>
    </w:p>
    <w:p>
      <w:pPr>
        <w:pStyle w:val="Heading4"/>
        <w:rPr/>
      </w:pPr>
      <w:r>
        <w:rPr/>
        <w:t>Pluggable heat sinks</w:t>
      </w:r>
    </w:p>
    <w:p>
      <w:pPr>
        <w:pStyle w:val="Normal"/>
        <w:rPr/>
      </w:pPr>
      <w:r>
        <w:rPr/>
        <w:t xml:space="preserve">3D-ICE starting from version </w:t>
      </w:r>
      <w:r>
        <w:rPr>
          <w:rFonts w:eastAsia="Calibri" w:cs="" w:cstheme="minorBidi" w:eastAsiaTheme="minorHAnsi"/>
          <w:color w:val="00000A"/>
          <w:kern w:val="0"/>
          <w:sz w:val="22"/>
          <w:szCs w:val="22"/>
          <w:lang w:val="en-US" w:eastAsia="en-US" w:bidi="ar-SA"/>
        </w:rPr>
        <w:t>3.0.0</w:t>
      </w:r>
      <w:r>
        <w:rPr/>
        <w:t xml:space="preserve"> supports a pluggable heat sink interface that allow it to perform co-simulation with a separate heat sink model. Refer to the chapter “Co-simulation and plugin interface” for more information about </w:t>
      </w:r>
      <w:r>
        <w:rPr>
          <w:rFonts w:eastAsia="Calibri" w:cs="" w:cstheme="minorBidi" w:eastAsiaTheme="minorHAnsi"/>
          <w:color w:val="00000A"/>
          <w:kern w:val="0"/>
          <w:sz w:val="22"/>
          <w:szCs w:val="22"/>
          <w:lang w:val="en-US" w:eastAsia="en-US" w:bidi="ar-SA"/>
        </w:rPr>
        <w:t>co-simulation in 3D-ICE</w:t>
      </w:r>
      <w:r>
        <w:rPr/>
        <w:t>.</w:t>
      </w:r>
    </w:p>
    <w:p>
      <w:pPr>
        <w:pStyle w:val="Normal"/>
        <w:jc w:val="both"/>
        <w:rPr/>
      </w:pPr>
      <w:r>
        <w:rPr/>
        <w:t>The syntax to add a pluggable heat sink is:</w:t>
      </w:r>
    </w:p>
    <w:p>
      <w:pPr>
        <w:pStyle w:val="Normal"/>
        <w:ind w:left="720" w:hanging="0"/>
        <w:jc w:val="both"/>
        <w:rPr/>
      </w:pPr>
      <w:r>
        <w:rPr>
          <w:rFonts w:cs="Courier New" w:ascii="Courier New" w:hAnsi="Courier New"/>
          <w:sz w:val="18"/>
        </w:rPr>
        <w:t>top pluggable heat sink :</w:t>
      </w:r>
    </w:p>
    <w:p>
      <w:pPr>
        <w:pStyle w:val="Normal"/>
        <w:ind w:left="1440" w:hanging="0"/>
        <w:jc w:val="both"/>
        <w:rPr/>
      </w:pPr>
      <w:r>
        <w:rPr>
          <w:rFonts w:cs="Courier New" w:ascii="Courier New" w:hAnsi="Courier New"/>
          <w:sz w:val="18"/>
        </w:rPr>
        <w:t>spreader length DVALUE, width DVALUE, height DVALUE ;</w:t>
      </w:r>
    </w:p>
    <w:p>
      <w:pPr>
        <w:pStyle w:val="Normal"/>
        <w:ind w:left="1440" w:hanging="0"/>
        <w:jc w:val="both"/>
        <w:rPr/>
      </w:pPr>
      <w:r>
        <w:rPr>
          <w:rFonts w:cs="Courier New" w:ascii="Courier New" w:hAnsi="Courier New"/>
          <w:sz w:val="18"/>
        </w:rPr>
        <w:t>material MATERIAL_ID ;</w:t>
      </w:r>
    </w:p>
    <w:p>
      <w:pPr>
        <w:pStyle w:val="Normal"/>
        <w:ind w:left="1440" w:hanging="0"/>
        <w:jc w:val="both"/>
        <w:rPr/>
      </w:pPr>
      <w:r>
        <w:rPr>
          <w:rFonts w:cs="Courier New" w:ascii="Courier New" w:hAnsi="Courier New"/>
          <w:sz w:val="18"/>
        </w:rPr>
        <w:t>plugin PATH [, ARGS] ;</w:t>
      </w:r>
    </w:p>
    <w:p>
      <w:pPr>
        <w:pStyle w:val="Normal"/>
        <w:jc w:val="both"/>
        <w:rPr/>
      </w:pPr>
      <w:r>
        <w:rPr/>
        <w:t>where</w:t>
      </w:r>
    </w:p>
    <w:p>
      <w:pPr>
        <w:pStyle w:val="ListParagraph"/>
        <w:numPr>
          <w:ilvl w:val="0"/>
          <w:numId w:val="29"/>
        </w:numPr>
        <w:jc w:val="both"/>
        <w:rPr/>
      </w:pPr>
      <w:r>
        <w:rPr>
          <w:rFonts w:cs="Courier New" w:ascii="Courier New" w:hAnsi="Courier New"/>
          <w:sz w:val="18"/>
        </w:rPr>
        <w:t>length, width, height</w:t>
      </w:r>
      <w:r>
        <w:rPr/>
        <w:t xml:space="preserve"> are the dimensions of the heat spreader in </w:t>
      </w:r>
      <w:r>
        <w:rPr>
          <w:rFonts w:cs="Calibri" w:cstheme="minorHAnsi"/>
        </w:rPr>
        <w:t>µ</w:t>
      </w:r>
      <w:r>
        <w:rPr/>
        <w:t>m,</w:t>
      </w:r>
    </w:p>
    <w:p>
      <w:pPr>
        <w:pStyle w:val="ListParagraph"/>
        <w:numPr>
          <w:ilvl w:val="0"/>
          <w:numId w:val="29"/>
        </w:numPr>
        <w:jc w:val="both"/>
        <w:rPr/>
      </w:pPr>
      <w:r>
        <w:rPr>
          <w:rFonts w:eastAsia="Calibri" w:cs="Courier New" w:ascii="Courier New" w:hAnsi="Courier New" w:eastAsiaTheme="minorHAnsi"/>
          <w:color w:val="00000A"/>
          <w:kern w:val="0"/>
          <w:sz w:val="18"/>
          <w:szCs w:val="22"/>
          <w:lang w:val="en-US" w:eastAsia="en-US" w:bidi="ar-SA"/>
        </w:rPr>
        <w:t>MATERIAL_ID</w:t>
      </w:r>
      <w:r>
        <w:rPr/>
        <w:t xml:space="preserve"> is the spreader material</w:t>
      </w:r>
    </w:p>
    <w:p>
      <w:pPr>
        <w:pStyle w:val="ListParagraph"/>
        <w:numPr>
          <w:ilvl w:val="0"/>
          <w:numId w:val="29"/>
        </w:numPr>
        <w:jc w:val="both"/>
        <w:rPr/>
      </w:pPr>
      <w:r>
        <w:rPr>
          <w:rFonts w:eastAsia="Calibri" w:cs="Courier New" w:ascii="Courier New" w:hAnsi="Courier New" w:eastAsiaTheme="minorHAnsi"/>
          <w:color w:val="00000A"/>
          <w:kern w:val="0"/>
          <w:sz w:val="18"/>
          <w:szCs w:val="22"/>
          <w:lang w:val="en-US" w:eastAsia="en-US" w:bidi="ar-SA"/>
        </w:rPr>
        <w:t>PATH</w:t>
      </w:r>
      <w:r>
        <w:rPr>
          <w:rFonts w:cs="Courier New" w:ascii="Courier New" w:hAnsi="Courier New"/>
          <w:sz w:val="18"/>
        </w:rPr>
        <w:t xml:space="preserve"> </w:t>
      </w:r>
      <w:r>
        <w:rPr/>
        <w:t>is the path to the heat sink plugin</w:t>
      </w:r>
    </w:p>
    <w:p>
      <w:pPr>
        <w:pStyle w:val="ListParagraph"/>
        <w:numPr>
          <w:ilvl w:val="0"/>
          <w:numId w:val="29"/>
        </w:numPr>
        <w:jc w:val="both"/>
        <w:rPr/>
      </w:pPr>
      <w:r>
        <w:rPr>
          <w:rFonts w:eastAsia="Calibri" w:cs="Courier New" w:ascii="Courier New" w:hAnsi="Courier New" w:eastAsiaTheme="minorHAnsi"/>
          <w:color w:val="00000A"/>
          <w:kern w:val="0"/>
          <w:sz w:val="18"/>
          <w:szCs w:val="22"/>
          <w:lang w:val="en-US" w:eastAsia="en-US" w:bidi="ar-SA"/>
        </w:rPr>
        <w:t>ARGS</w:t>
      </w:r>
      <w:r>
        <w:rPr/>
        <w:t xml:space="preserve"> is an optional string of arguments passed as-is to the plugin (like the command line arguments of an executable program)</w:t>
      </w:r>
    </w:p>
    <w:p>
      <w:pPr>
        <w:pStyle w:val="ListParagraph"/>
        <w:jc w:val="both"/>
        <w:rPr/>
      </w:pPr>
      <w:r>
        <w:rPr/>
      </w:r>
    </w:p>
    <w:p>
      <w:pPr>
        <w:pStyle w:val="ListParagraph"/>
        <w:jc w:val="both"/>
        <w:rPr/>
      </w:pPr>
      <w:r>
        <w:rPr/>
      </w:r>
    </w:p>
    <w:p>
      <w:pPr>
        <w:pStyle w:val="ListParagraph"/>
        <w:jc w:val="both"/>
        <w:rPr/>
      </w:pPr>
      <w:r>
        <w:rPr/>
      </w:r>
    </w:p>
    <w:tbl>
      <w:tblPr>
        <w:tblStyle w:val="Tabellenraster"/>
        <w:tblpPr w:bottomFromText="0" w:horzAnchor="margin" w:leftFromText="180" w:rightFromText="180" w:tblpX="0" w:tblpY="1800" w:topFromText="0" w:vertAnchor="text"/>
        <w:tblW w:w="9650" w:type="dxa"/>
        <w:jc w:val="left"/>
        <w:tblInd w:w="53" w:type="dxa"/>
        <w:tblLayout w:type="fixed"/>
        <w:tblCellMar>
          <w:top w:w="0" w:type="dxa"/>
          <w:left w:w="53" w:type="dxa"/>
          <w:bottom w:w="0" w:type="dxa"/>
          <w:right w:w="108" w:type="dxa"/>
        </w:tblCellMar>
        <w:tblLook w:firstRow="1" w:noVBand="1" w:lastRow="0" w:firstColumn="1" w:lastColumn="0" w:noHBand="0" w:val="04a0"/>
      </w:tblPr>
      <w:tblGrid>
        <w:gridCol w:w="4788"/>
        <w:gridCol w:w="4861"/>
      </w:tblGrid>
      <w:tr>
        <w:trPr/>
        <w:tc>
          <w:tcPr>
            <w:tcW w:w="4788" w:type="dxa"/>
            <w:tcBorders>
              <w:bottom w:val="nil"/>
              <w:right w:val="nil"/>
            </w:tcBorders>
            <w:shd w:fill="auto" w:val="clear"/>
            <w:vAlign w:val="center"/>
          </w:tcPr>
          <w:p>
            <w:pPr>
              <w:pStyle w:val="Normal"/>
              <w:widowControl w:val="false"/>
              <w:spacing w:lineRule="auto" w:line="240" w:before="0" w:after="0"/>
              <w:jc w:val="left"/>
              <w:rPr>
                <w:rFonts w:ascii="Courier New" w:hAnsi="Courier New" w:cs="Courier New"/>
                <w:b/>
                <w:b/>
                <w:sz w:val="18"/>
              </w:rPr>
            </w:pPr>
            <w:r>
              <w:rPr>
                <w:b/>
                <w:sz w:val="20"/>
              </w:rPr>
              <w:t>Example</w:t>
            </w:r>
          </w:p>
        </w:tc>
        <w:tc>
          <w:tcPr>
            <w:tcW w:w="4861" w:type="dxa"/>
            <w:tcBorders>
              <w:left w:val="nil"/>
              <w:bottom w:val="nil"/>
            </w:tcBorders>
            <w:shd w:fill="auto" w:val="clear"/>
            <w:vAlign w:val="center"/>
          </w:tcPr>
          <w:p>
            <w:pPr>
              <w:pStyle w:val="Normal"/>
              <w:keepNext w:val="true"/>
              <w:widowControl w:val="false"/>
              <w:spacing w:lineRule="auto" w:line="240" w:before="0" w:after="0"/>
              <w:jc w:val="left"/>
              <w:rPr>
                <w:sz w:val="20"/>
              </w:rPr>
            </w:pPr>
            <w:r>
              <w:rPr>
                <w:sz w:val="20"/>
              </w:rPr>
            </w:r>
          </w:p>
        </w:tc>
      </w:tr>
      <w:tr>
        <w:trPr/>
        <w:tc>
          <w:tcPr>
            <w:tcW w:w="4788" w:type="dxa"/>
            <w:tcBorders>
              <w:top w:val="nil"/>
              <w:bottom w:val="nil"/>
              <w:right w:val="nil"/>
            </w:tcBorders>
            <w:shd w:fill="auto" w:val="clear"/>
            <w:vAlign w:val="center"/>
          </w:tcPr>
          <w:p>
            <w:pPr>
              <w:pStyle w:val="Normal"/>
              <w:widowControl w:val="false"/>
              <w:spacing w:lineRule="auto" w:line="240" w:before="0" w:after="0"/>
              <w:jc w:val="both"/>
              <w:rPr/>
            </w:pPr>
            <w:r>
              <w:rPr>
                <w:rFonts w:cs="Courier New" w:ascii="Courier New" w:hAnsi="Courier New"/>
                <w:sz w:val="18"/>
              </w:rPr>
              <w:t>top pluggable heat sink:</w:t>
            </w:r>
          </w:p>
          <w:p>
            <w:pPr>
              <w:pStyle w:val="Normal"/>
              <w:widowControl w:val="false"/>
              <w:spacing w:lineRule="auto" w:line="240" w:before="0" w:after="0"/>
              <w:ind w:left="720" w:hanging="0"/>
              <w:jc w:val="both"/>
              <w:rPr/>
            </w:pPr>
            <w:r>
              <w:rPr>
                <w:rFonts w:cs="Courier New" w:ascii="Courier New" w:hAnsi="Courier New"/>
                <w:sz w:val="18"/>
              </w:rPr>
              <w:t>spreader length 2e4,</w:t>
            </w:r>
          </w:p>
          <w:p>
            <w:pPr>
              <w:pStyle w:val="Normal"/>
              <w:widowControl w:val="false"/>
              <w:spacing w:lineRule="auto" w:line="240" w:before="0" w:after="0"/>
              <w:ind w:left="720" w:hanging="0"/>
              <w:jc w:val="both"/>
              <w:rPr/>
            </w:pPr>
            <w:r>
              <w:rPr>
                <w:rFonts w:cs="Courier New" w:ascii="Courier New" w:hAnsi="Courier New"/>
                <w:sz w:val="18"/>
              </w:rPr>
              <w:t xml:space="preserve">         </w:t>
            </w:r>
            <w:r>
              <w:rPr>
                <w:rFonts w:cs="Courier New" w:ascii="Courier New" w:hAnsi="Courier New"/>
                <w:sz w:val="18"/>
              </w:rPr>
              <w:t>width 2e4,</w:t>
            </w:r>
          </w:p>
          <w:p>
            <w:pPr>
              <w:pStyle w:val="Normal"/>
              <w:widowControl w:val="false"/>
              <w:spacing w:lineRule="auto" w:line="240" w:before="0" w:after="0"/>
              <w:ind w:left="720" w:hanging="0"/>
              <w:jc w:val="both"/>
              <w:rPr/>
            </w:pPr>
            <w:r>
              <w:rPr>
                <w:rFonts w:cs="Courier New" w:ascii="Courier New" w:hAnsi="Courier New"/>
                <w:sz w:val="18"/>
              </w:rPr>
              <w:t xml:space="preserve">         </w:t>
            </w:r>
            <w:r>
              <w:rPr>
                <w:rFonts w:cs="Courier New" w:ascii="Courier New" w:hAnsi="Courier New"/>
                <w:sz w:val="18"/>
              </w:rPr>
              <w:t>height 1e3;</w:t>
            </w:r>
          </w:p>
          <w:p>
            <w:pPr>
              <w:pStyle w:val="Normal"/>
              <w:widowControl w:val="false"/>
              <w:spacing w:lineRule="auto" w:line="240" w:before="0" w:after="0"/>
              <w:ind w:left="720" w:hanging="0"/>
              <w:jc w:val="both"/>
              <w:rPr/>
            </w:pPr>
            <w:r>
              <w:rPr>
                <w:rFonts w:cs="Courier New" w:ascii="Courier New" w:hAnsi="Courier New"/>
                <w:sz w:val="18"/>
              </w:rPr>
              <w:t>material  COPPER;</w:t>
            </w:r>
          </w:p>
          <w:p>
            <w:pPr>
              <w:pStyle w:val="Normal"/>
              <w:widowControl w:val="false"/>
              <w:spacing w:lineRule="auto" w:line="240" w:before="0" w:after="0"/>
              <w:ind w:left="720" w:hanging="0"/>
              <w:jc w:val="both"/>
              <w:rPr/>
            </w:pPr>
            <w:r>
              <w:rPr>
                <w:rFonts w:cs="Courier New" w:ascii="Courier New" w:hAnsi="Courier New"/>
                <w:sz w:val="18"/>
              </w:rPr>
              <w:t>plugin “plugin.so”, “plugin-args”;</w:t>
            </w:r>
          </w:p>
        </w:tc>
        <w:tc>
          <w:tcPr>
            <w:tcW w:w="4861" w:type="dxa"/>
            <w:tcBorders>
              <w:top w:val="nil"/>
              <w:left w:val="nil"/>
              <w:bottom w:val="nil"/>
            </w:tcBorders>
            <w:shd w:fill="auto" w:val="clear"/>
            <w:vAlign w:val="center"/>
          </w:tcPr>
          <w:p>
            <w:pPr>
              <w:pStyle w:val="Normal"/>
              <w:keepNext w:val="true"/>
              <w:widowControl w:val="false"/>
              <w:spacing w:before="0" w:after="0"/>
              <w:jc w:val="center"/>
              <w:rPr>
                <w:sz w:val="20"/>
              </w:rPr>
            </w:pPr>
            <w:r>
              <w:rPr>
                <w:sz w:val="20"/>
              </w:rPr>
              <w:drawing>
                <wp:inline distT="0" distB="0" distL="0" distR="0">
                  <wp:extent cx="2851785" cy="988060"/>
                  <wp:effectExtent l="0" t="0" r="0" b="0"/>
                  <wp:docPr id="16" name="Picture 29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91" descr=""/>
                          <pic:cNvPicPr>
                            <a:picLocks noChangeAspect="1" noChangeArrowheads="1"/>
                          </pic:cNvPicPr>
                        </pic:nvPicPr>
                        <pic:blipFill>
                          <a:blip r:embed="rId19"/>
                          <a:stretch>
                            <a:fillRect/>
                          </a:stretch>
                        </pic:blipFill>
                        <pic:spPr bwMode="auto">
                          <a:xfrm>
                            <a:off x="0" y="0"/>
                            <a:ext cx="2851785" cy="988060"/>
                          </a:xfrm>
                          <a:prstGeom prst="rect">
                            <a:avLst/>
                          </a:prstGeom>
                        </pic:spPr>
                      </pic:pic>
                    </a:graphicData>
                  </a:graphic>
                </wp:inline>
              </w:drawing>
            </w:r>
          </w:p>
          <w:p>
            <w:pPr>
              <w:pStyle w:val="Caption1"/>
              <w:widowControl w:val="false"/>
              <w:spacing w:before="0" w:after="0"/>
              <w:jc w:val="center"/>
              <w:rPr/>
            </w:pPr>
            <w:r>
              <w:rPr/>
              <w:t>Figure 10: Pluggable heat sink</w:t>
            </w:r>
          </w:p>
        </w:tc>
      </w:tr>
      <w:tr>
        <w:trPr/>
        <w:tc>
          <w:tcPr>
            <w:tcW w:w="4788" w:type="dxa"/>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tc>
        <w:tc>
          <w:tcPr>
            <w:tcW w:w="4861" w:type="dxa"/>
            <w:tcBorders>
              <w:top w:val="nil"/>
              <w:left w:val="nil"/>
            </w:tcBorders>
            <w:shd w:fill="auto" w:val="clear"/>
            <w:vAlign w:val="center"/>
          </w:tcPr>
          <w:p>
            <w:pPr>
              <w:pStyle w:val="Normal"/>
              <w:keepNext w:val="true"/>
              <w:widowControl w:val="false"/>
              <w:spacing w:lineRule="auto" w:line="240" w:before="0" w:after="0"/>
              <w:jc w:val="left"/>
              <w:rPr>
                <w:sz w:val="20"/>
              </w:rPr>
            </w:pPr>
            <w:r>
              <w:rPr>
                <w:sz w:val="20"/>
              </w:rPr>
            </w:r>
          </w:p>
        </w:tc>
      </w:tr>
    </w:tbl>
    <w:p>
      <w:pPr>
        <w:pStyle w:val="Normal"/>
        <w:jc w:val="both"/>
        <w:rPr>
          <w:rFonts w:cs="Courier New"/>
          <w:sz w:val="22"/>
          <w:szCs w:val="22"/>
        </w:rPr>
      </w:pPr>
      <w:r>
        <w:rPr>
          <w:rFonts w:cs="Courier New"/>
          <w:sz w:val="22"/>
          <w:szCs w:val="22"/>
        </w:rPr>
      </w:r>
    </w:p>
    <w:p>
      <w:pPr>
        <w:pStyle w:val="Heading3"/>
        <w:numPr>
          <w:ilvl w:val="0"/>
          <w:numId w:val="22"/>
        </w:numPr>
        <w:ind w:left="426" w:hanging="142"/>
        <w:rPr/>
      </w:pPr>
      <w:bookmarkStart w:id="90" w:name="__RefHeading___Toc2977_2393532176"/>
      <w:bookmarkStart w:id="91" w:name="_Toc442446449"/>
      <w:bookmarkEnd w:id="90"/>
      <w:bookmarkEnd w:id="91"/>
      <w:r>
        <w:rPr/>
        <w:t>Liquid-cooled cavity</w:t>
      </w:r>
    </w:p>
    <w:p>
      <w:pPr>
        <w:pStyle w:val="Normal"/>
        <w:jc w:val="both"/>
        <w:rPr/>
      </w:pPr>
      <w:r>
        <w:rPr/>
        <w:t xml:space="preserve">The Liquid-cooled cavity(henceforth referred to simply as “cavity”) section provides3D-ICE information about the interlayer liquid-cooled heat sink. Since in a given 3D IC design, all interlayer cavities are designed identically, only one declaration of (and one type of) cavity is allowed. As mentioned earlier, there are four types of cavities in 3D-ICE and the flow of coolant is always the SOUTH-NORTH or </w:t>
      </w:r>
      <w:r>
        <w:rPr>
          <w:i/>
        </w:rPr>
        <w:t xml:space="preserve">+y </w:t>
      </w:r>
      <w:r>
        <w:rPr/>
        <w:t>direction. This section can be omitted for simulating a 3D IC without liquid cooling (solid only).</w:t>
      </w:r>
    </w:p>
    <w:p>
      <w:pPr>
        <w:pStyle w:val="Heading4"/>
        <w:rPr/>
      </w:pPr>
      <w:r>
        <w:rPr/>
        <w:t>Microchannel 4-resistor model</w:t>
      </w:r>
    </w:p>
    <w:p>
      <w:pPr>
        <w:pStyle w:val="Normal"/>
        <w:ind w:left="720" w:hanging="0"/>
        <w:jc w:val="both"/>
        <w:rPr>
          <w:rFonts w:ascii="Courier New" w:hAnsi="Courier New" w:cs="Courier New"/>
          <w:sz w:val="18"/>
        </w:rPr>
      </w:pPr>
      <w:r>
        <w:rPr>
          <w:rFonts w:cs="Courier New" w:ascii="Courier New" w:hAnsi="Courier New"/>
          <w:sz w:val="18"/>
        </w:rPr>
        <w:t>microchannel4rm :</w:t>
      </w:r>
    </w:p>
    <w:p>
      <w:pPr>
        <w:pStyle w:val="Normal"/>
        <w:ind w:left="1440" w:hanging="0"/>
        <w:jc w:val="both"/>
        <w:rPr>
          <w:rFonts w:ascii="Courier New" w:hAnsi="Courier New" w:cs="Courier New"/>
          <w:sz w:val="18"/>
        </w:rPr>
      </w:pPr>
      <w:r>
        <w:rPr>
          <w:rFonts w:cs="Courier New" w:ascii="Courier New" w:hAnsi="Courier New"/>
          <w:sz w:val="18"/>
        </w:rPr>
        <w:t>height DVALUE ;</w:t>
      </w:r>
    </w:p>
    <w:p>
      <w:pPr>
        <w:pStyle w:val="Normal"/>
        <w:ind w:left="1440" w:hanging="0"/>
        <w:jc w:val="both"/>
        <w:rPr>
          <w:rFonts w:ascii="Courier New" w:hAnsi="Courier New" w:cs="Courier New"/>
          <w:sz w:val="18"/>
        </w:rPr>
      </w:pPr>
      <w:r>
        <w:rPr>
          <w:rFonts w:cs="Courier New" w:ascii="Courier New" w:hAnsi="Courier New"/>
          <w:sz w:val="18"/>
        </w:rPr>
        <w:t>channellengthDVALUE ;</w:t>
      </w:r>
    </w:p>
    <w:p>
      <w:pPr>
        <w:pStyle w:val="Normal"/>
        <w:ind w:left="1440" w:hanging="0"/>
        <w:jc w:val="both"/>
        <w:rPr>
          <w:rFonts w:ascii="Courier New" w:hAnsi="Courier New" w:cs="Courier New"/>
          <w:sz w:val="18"/>
        </w:rPr>
      </w:pPr>
      <w:r>
        <w:rPr>
          <w:rFonts w:cs="Courier New" w:ascii="Courier New" w:hAnsi="Courier New"/>
          <w:sz w:val="18"/>
        </w:rPr>
        <w:t>wall lengthDVALUE ;</w:t>
      </w:r>
    </w:p>
    <w:p>
      <w:pPr>
        <w:pStyle w:val="Normal"/>
        <w:ind w:left="1440" w:hanging="0"/>
        <w:jc w:val="both"/>
        <w:rPr>
          <w:rFonts w:ascii="Courier New" w:hAnsi="Courier New" w:cs="Courier New"/>
          <w:sz w:val="18"/>
        </w:rPr>
      </w:pPr>
      <w:r>
        <w:rPr>
          <w:rFonts w:cs="Courier New" w:ascii="Courier New" w:hAnsi="Courier New"/>
          <w:sz w:val="18"/>
        </w:rPr>
        <w:t>[first wall length DVALUE ; ]?</w:t>
      </w:r>
    </w:p>
    <w:p>
      <w:pPr>
        <w:pStyle w:val="Normal"/>
        <w:ind w:left="1440" w:hanging="0"/>
        <w:jc w:val="both"/>
        <w:rPr>
          <w:rFonts w:ascii="Courier New" w:hAnsi="Courier New" w:cs="Courier New"/>
          <w:sz w:val="18"/>
        </w:rPr>
      </w:pPr>
      <w:r>
        <w:rPr>
          <w:rFonts w:cs="Courier New" w:ascii="Courier New" w:hAnsi="Courier New"/>
          <w:sz w:val="18"/>
        </w:rPr>
        <w:t>[last  wall length DVALUE ; ]?</w:t>
      </w:r>
    </w:p>
    <w:p>
      <w:pPr>
        <w:pStyle w:val="Normal"/>
        <w:ind w:left="1440" w:hanging="0"/>
        <w:jc w:val="both"/>
        <w:rPr>
          <w:rFonts w:ascii="Courier New" w:hAnsi="Courier New" w:cs="Courier New"/>
          <w:sz w:val="18"/>
        </w:rPr>
      </w:pPr>
      <w:r>
        <w:rPr>
          <w:rFonts w:cs="Courier New" w:ascii="Courier New" w:hAnsi="Courier New"/>
          <w:sz w:val="18"/>
        </w:rPr>
        <w:t>wall material MATERIAL_ID  ;</w:t>
      </w:r>
    </w:p>
    <w:p>
      <w:pPr>
        <w:pStyle w:val="Normal"/>
        <w:ind w:left="1440" w:hanging="0"/>
        <w:jc w:val="both"/>
        <w:rPr>
          <w:rFonts w:ascii="Courier New" w:hAnsi="Courier New" w:cs="Courier New"/>
          <w:sz w:val="18"/>
        </w:rPr>
      </w:pPr>
      <w:r>
        <w:rPr>
          <w:rFonts w:cs="Courier New" w:ascii="Courier New" w:hAnsi="Courier New"/>
          <w:sz w:val="18"/>
        </w:rPr>
        <w:t>coolant flow rate DVALUE ;</w:t>
      </w:r>
    </w:p>
    <w:p>
      <w:pPr>
        <w:pStyle w:val="Normal"/>
        <w:tabs>
          <w:tab w:val="clear" w:pos="720"/>
          <w:tab w:val="left" w:pos="6379" w:leader="none"/>
        </w:tabs>
        <w:ind w:left="1440" w:hanging="0"/>
        <w:jc w:val="both"/>
        <w:rPr>
          <w:rFonts w:ascii="Courier New" w:hAnsi="Courier New" w:cs="Courier New"/>
          <w:sz w:val="18"/>
        </w:rPr>
      </w:pPr>
      <w:r>
        <w:rPr>
          <w:rFonts w:cs="Courier New" w:ascii="Courier New" w:hAnsi="Courier New"/>
          <w:sz w:val="18"/>
        </w:rPr>
        <w:t>coolant heat transfer coefficient [ DVALUE |</w:t>
        <w:tab/>
        <w:t>side DVALUE ,</w:t>
      </w:r>
    </w:p>
    <w:p>
      <w:pPr>
        <w:pStyle w:val="Normal"/>
        <w:tabs>
          <w:tab w:val="clear" w:pos="720"/>
          <w:tab w:val="left" w:pos="6379" w:leader="none"/>
          <w:tab w:val="left" w:pos="10915" w:leader="none"/>
          <w:tab w:val="left" w:pos="13467" w:leader="none"/>
        </w:tabs>
        <w:jc w:val="both"/>
        <w:rPr>
          <w:rFonts w:ascii="Courier New" w:hAnsi="Courier New" w:cs="Courier New"/>
          <w:sz w:val="18"/>
        </w:rPr>
      </w:pPr>
      <w:r>
        <w:rPr>
          <w:rFonts w:cs="Courier New" w:ascii="Courier New" w:hAnsi="Courier New"/>
          <w:sz w:val="18"/>
        </w:rPr>
        <w:tab/>
        <w:t>top  DVALUE ,</w:t>
      </w:r>
    </w:p>
    <w:p>
      <w:pPr>
        <w:pStyle w:val="Normal"/>
        <w:tabs>
          <w:tab w:val="clear" w:pos="720"/>
          <w:tab w:val="left" w:pos="6379" w:leader="none"/>
          <w:tab w:val="left" w:pos="10915" w:leader="none"/>
        </w:tabs>
        <w:jc w:val="both"/>
        <w:rPr>
          <w:rFonts w:ascii="Courier New" w:hAnsi="Courier New" w:cs="Courier New"/>
          <w:sz w:val="18"/>
        </w:rPr>
      </w:pPr>
      <w:r>
        <w:rPr>
          <w:rFonts w:cs="Courier New" w:ascii="Courier New" w:hAnsi="Courier New"/>
          <w:sz w:val="18"/>
        </w:rPr>
        <w:tab/>
        <w:t>bottom DVALUE ] ;</w:t>
      </w:r>
    </w:p>
    <w:p>
      <w:pPr>
        <w:pStyle w:val="Normal"/>
        <w:ind w:left="1440" w:hanging="0"/>
        <w:jc w:val="both"/>
        <w:rPr>
          <w:rFonts w:ascii="Courier New" w:hAnsi="Courier New" w:cs="Courier New"/>
          <w:sz w:val="18"/>
        </w:rPr>
      </w:pPr>
      <w:r>
        <w:rPr>
          <w:rFonts w:cs="Courier New" w:ascii="Courier New" w:hAnsi="Courier New"/>
          <w:sz w:val="18"/>
        </w:rPr>
        <w:t>coolant volumetric heat capacity DVALUE ;</w:t>
      </w:r>
    </w:p>
    <w:p>
      <w:pPr>
        <w:pStyle w:val="Normal"/>
        <w:ind w:left="1440" w:hanging="0"/>
        <w:jc w:val="both"/>
        <w:rPr>
          <w:rFonts w:ascii="Courier New" w:hAnsi="Courier New" w:cs="Courier New"/>
          <w:sz w:val="18"/>
        </w:rPr>
      </w:pPr>
      <w:r>
        <w:rPr>
          <w:rFonts w:cs="Courier New" w:ascii="Courier New" w:hAnsi="Courier New"/>
          <w:sz w:val="18"/>
        </w:rPr>
        <w:t>coolant incoming temperature DVALUE ;</w:t>
      </w:r>
    </w:p>
    <w:p>
      <w:pPr>
        <w:pStyle w:val="Normal"/>
        <w:jc w:val="both"/>
        <w:rPr/>
      </w:pPr>
      <w:r>
        <w:rPr/>
        <w:t>where</w:t>
      </w:r>
    </w:p>
    <w:p>
      <w:pPr>
        <w:pStyle w:val="ListParagraph"/>
        <w:numPr>
          <w:ilvl w:val="0"/>
          <w:numId w:val="7"/>
        </w:numPr>
        <w:jc w:val="both"/>
        <w:rPr/>
      </w:pPr>
      <w:r>
        <w:rPr>
          <w:rFonts w:cs="Courier New" w:ascii="Courier New" w:hAnsi="Courier New"/>
          <w:sz w:val="18"/>
        </w:rPr>
        <w:t>height</w:t>
      </w:r>
      <w:r>
        <w:rPr/>
        <w:t xml:space="preserve"> (in </w:t>
      </w:r>
      <w:r>
        <w:rPr>
          <w:rFonts w:cs="Calibri" w:cstheme="minorHAnsi"/>
        </w:rPr>
        <w:t>µ</w:t>
      </w:r>
      <w:r>
        <w:rPr/>
        <w:t>m) corresponds to the height of the microchannel layer. This must exactly correspond to the microchannel height from the surface of the top wall to the surface of the bottom wall because of the 4RM-CTTM and 2RM-CTTM modeling requirements. Solid walls bounding the top and bottom faces of the microchannel would constitute new layers that should be declared separately,</w:t>
      </w:r>
    </w:p>
    <w:p>
      <w:pPr>
        <w:pStyle w:val="ListParagraph"/>
        <w:numPr>
          <w:ilvl w:val="0"/>
          <w:numId w:val="7"/>
        </w:numPr>
        <w:jc w:val="both"/>
        <w:rPr/>
      </w:pPr>
      <w:r>
        <w:rPr>
          <w:rFonts w:cs="Courier New" w:ascii="Courier New" w:hAnsi="Courier New"/>
          <w:sz w:val="18"/>
        </w:rPr>
        <w:t xml:space="preserve">channellength </w:t>
      </w:r>
      <w:r>
        <w:rPr/>
        <w:t xml:space="preserve">and </w:t>
      </w:r>
      <w:r>
        <w:rPr>
          <w:rFonts w:cs="Courier New" w:ascii="Courier New" w:hAnsi="Courier New"/>
          <w:sz w:val="18"/>
        </w:rPr>
        <w:t>walllength</w:t>
      </w:r>
      <w:r>
        <w:rPr/>
        <w:t xml:space="preserve"> are the cross sectional lengths of the channel and the wall (in the </w:t>
      </w:r>
      <w:r>
        <w:rPr>
          <w:i/>
        </w:rPr>
        <w:t>x</w:t>
      </w:r>
      <w:r>
        <w:rPr/>
        <w:t xml:space="preserve"> direction, all in </w:t>
      </w:r>
      <w:r>
        <w:rPr>
          <w:rFonts w:cs="Calibri" w:cstheme="minorHAnsi"/>
        </w:rPr>
        <w:t>µ</w:t>
      </w:r>
      <w:r>
        <w:rPr/>
        <w:t xml:space="preserve">m). During the discretization of the system (see the Dimensions section for more details), 3D-ICE automatically starts with a wall at the eastern most end of the layer, and alternate channels and walls along the </w:t>
      </w:r>
      <w:r>
        <w:rPr>
          <w:i/>
        </w:rPr>
        <w:t>x</w:t>
      </w:r>
      <w:r>
        <w:rPr/>
        <w:t xml:space="preserve"> direction. But the user must ensure that dimensions are such that the layer always ends with a wall (in other words, the number of columns must always be an odd number),</w:t>
      </w:r>
    </w:p>
    <w:p>
      <w:pPr>
        <w:pStyle w:val="ListParagraph"/>
        <w:numPr>
          <w:ilvl w:val="0"/>
          <w:numId w:val="7"/>
        </w:numPr>
        <w:jc w:val="both"/>
        <w:rPr/>
      </w:pPr>
      <w:r>
        <w:rPr>
          <w:rFonts w:cs="Courier New" w:ascii="Courier New" w:hAnsi="Courier New"/>
          <w:sz w:val="18"/>
        </w:rPr>
        <w:t>first wall length</w:t>
      </w:r>
      <w:r>
        <w:rPr/>
        <w:t xml:space="preserve"> and </w:t>
      </w:r>
      <w:r>
        <w:rPr>
          <w:rFonts w:cs="Courier New" w:ascii="Courier New" w:hAnsi="Courier New"/>
          <w:sz w:val="18"/>
        </w:rPr>
        <w:t>last wall length</w:t>
      </w:r>
      <w:r>
        <w:rPr/>
        <w:t xml:space="preserve">(in </w:t>
      </w:r>
      <w:r>
        <w:rPr>
          <w:rFonts w:cs="Calibri" w:cstheme="minorHAnsi"/>
        </w:rPr>
        <w:t>µ</w:t>
      </w:r>
      <w:r>
        <w:rPr/>
        <w:t xml:space="preserve">m) are optional properties that represents the length of the western-most (the first column) and eastern-most (the last column) walls. This option has been included since, during the fabrication of microchannels on the back of the substrate, although the etching mask pattern is predominantly regular, there are chances of irregularities at the ends, or there might be a deliberate use of different dimensions for the first and the last wall to preserve uniformity and symmetry of heat transfer coefficient. If one of these two dimensions(or both) is not declared, then the </w:t>
      </w:r>
      <w:r>
        <w:rPr>
          <w:rFonts w:cs="Courier New" w:ascii="Courier New" w:hAnsi="Courier New"/>
          <w:sz w:val="18"/>
        </w:rPr>
        <w:t>wall length</w:t>
      </w:r>
      <w:r>
        <w:rPr/>
        <w:t xml:space="preserve"> will be used at its corresponding location,</w:t>
      </w:r>
    </w:p>
    <w:p>
      <w:pPr>
        <w:pStyle w:val="ListParagraph"/>
        <w:numPr>
          <w:ilvl w:val="0"/>
          <w:numId w:val="7"/>
        </w:numPr>
        <w:jc w:val="both"/>
        <w:rPr/>
      </w:pPr>
      <w:r>
        <w:rPr>
          <w:rFonts w:cs="Courier New" w:ascii="Courier New" w:hAnsi="Courier New"/>
          <w:sz w:val="18"/>
        </w:rPr>
        <w:t>MATERIAL_ID</w:t>
      </w:r>
      <w:r>
        <w:rPr/>
        <w:t xml:space="preserve"> is the identifier of the material composing the walls (the ID must be previously declared in the materials section),</w:t>
      </w:r>
    </w:p>
    <w:p>
      <w:pPr>
        <w:pStyle w:val="ListParagraph"/>
        <w:numPr>
          <w:ilvl w:val="0"/>
          <w:numId w:val="7"/>
        </w:numPr>
        <w:jc w:val="both"/>
        <w:rPr/>
      </w:pPr>
      <w:r>
        <w:rPr>
          <w:rFonts w:cs="Courier New" w:ascii="Courier New" w:hAnsi="Courier New"/>
          <w:sz w:val="18"/>
        </w:rPr>
        <w:t>coolant flow rate</w:t>
      </w:r>
      <w:r>
        <w:rPr/>
        <w:t xml:space="preserve"> is expressed (in ml/min) and it refers to the volume of coolant flowing per unit time per channel layer (cavity) in the stack. If you have multiple layers of microchannels, the total flow rate must be divided by the number of channel layers and given as a single input,</w:t>
      </w:r>
    </w:p>
    <w:p>
      <w:pPr>
        <w:pStyle w:val="ListParagraph"/>
        <w:numPr>
          <w:ilvl w:val="0"/>
          <w:numId w:val="7"/>
        </w:numPr>
        <w:jc w:val="both"/>
        <w:rPr/>
      </w:pPr>
      <w:r>
        <w:rPr>
          <w:rFonts w:cs="Courier New" w:ascii="Courier New" w:hAnsi="Courier New"/>
          <w:sz w:val="18"/>
        </w:rPr>
        <w:t>coolant heat transfer coefficient</w:t>
      </w:r>
      <w:r>
        <w:rPr/>
        <w:t xml:space="preserve"> is the Heat Transfer Coefficient of convective heat removal from the walls into the coolant (in W/</w:t>
      </w:r>
      <w:r>
        <w:rPr>
          <w:rFonts w:cs="Calibri" w:cstheme="minorHAnsi"/>
        </w:rPr>
        <w:t>µ</w:t>
      </w:r>
      <w:r>
        <w:rPr/>
        <w:t>m</w:t>
      </w:r>
      <w:r>
        <w:rPr>
          <w:vertAlign w:val="superscript"/>
        </w:rPr>
        <w:t>2</w:t>
      </w:r>
      <w:r>
        <w:rPr/>
        <w:t xml:space="preserve">K). It is possible to specify a single value of HTC for all the wetted surfaces of the microchannel or specify three different values- one for the </w:t>
      </w:r>
      <w:r>
        <w:rPr>
          <w:i/>
        </w:rPr>
        <w:t>side</w:t>
      </w:r>
      <w:r>
        <w:rPr/>
        <w:t xml:space="preserve"> wall surfaces, one for the </w:t>
      </w:r>
      <w:r>
        <w:rPr>
          <w:i/>
        </w:rPr>
        <w:t>top</w:t>
      </w:r>
      <w:r>
        <w:rPr/>
        <w:t xml:space="preserve"> and one for the </w:t>
      </w:r>
      <w:r>
        <w:rPr>
          <w:i/>
        </w:rPr>
        <w:t>bottom</w:t>
      </w:r>
      <w:r>
        <w:rPr/>
        <w:t xml:space="preserve"> wall surface of the microchannel.</w:t>
      </w:r>
    </w:p>
    <w:p>
      <w:pPr>
        <w:pStyle w:val="ListParagraph"/>
        <w:numPr>
          <w:ilvl w:val="0"/>
          <w:numId w:val="7"/>
        </w:numPr>
        <w:jc w:val="both"/>
        <w:rPr/>
      </w:pPr>
      <w:r>
        <w:rPr>
          <w:rFonts w:cs="Courier New" w:ascii="Courier New" w:hAnsi="Courier New"/>
          <w:sz w:val="18"/>
        </w:rPr>
        <w:t>coolant volumetric heat capacity</w:t>
      </w:r>
      <w:r>
        <w:rPr/>
        <w:t xml:space="preserve"> is expressed in J/</w:t>
      </w:r>
      <w:r>
        <w:rPr>
          <w:rFonts w:cs="Calibri" w:cstheme="minorHAnsi"/>
        </w:rPr>
        <w:t>µ</w:t>
      </w:r>
      <w:r>
        <w:rPr/>
        <w:t>m</w:t>
      </w:r>
      <w:r>
        <w:rPr>
          <w:vertAlign w:val="superscript"/>
        </w:rPr>
        <w:t>3</w:t>
      </w:r>
      <w:r>
        <w:rPr/>
        <w:t>K,</w:t>
      </w:r>
    </w:p>
    <w:p>
      <w:pPr>
        <w:pStyle w:val="ListParagraph"/>
        <w:numPr>
          <w:ilvl w:val="0"/>
          <w:numId w:val="7"/>
        </w:numPr>
        <w:jc w:val="both"/>
        <w:rPr/>
      </w:pPr>
      <w:r>
        <w:rPr>
          <w:rFonts w:cs="Courier New" w:ascii="Courier New" w:hAnsi="Courier New"/>
          <w:sz w:val="18"/>
        </w:rPr>
        <w:t xml:space="preserve">coolant incoming temperature </w:t>
      </w:r>
      <w:r>
        <w:rPr/>
        <w:t>is the inlet coolant temperature expressed in K.</w:t>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4605"/>
        <w:gridCol w:w="5044"/>
      </w:tblGrid>
      <w:tr>
        <w:trPr/>
        <w:tc>
          <w:tcPr>
            <w:tcW w:w="4605"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w:t>
            </w:r>
          </w:p>
        </w:tc>
        <w:tc>
          <w:tcPr>
            <w:tcW w:w="5044"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c>
          <w:tcPr>
            <w:tcW w:w="4605" w:type="dxa"/>
            <w:tcBorders>
              <w:top w:val="nil"/>
              <w:right w:val="nil"/>
            </w:tcBorders>
            <w:shd w:fill="auto" w:val="clear"/>
            <w:vAlign w:val="center"/>
          </w:tcPr>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microchannel4rm:</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channel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first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material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flow rate 42;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heat transfer coefficient</w:t>
            </w:r>
          </w:p>
          <w:p>
            <w:pPr>
              <w:pStyle w:val="Normal"/>
              <w:widowControl w:val="false"/>
              <w:spacing w:lineRule="auto" w:line="240" w:before="0" w:after="0"/>
              <w:ind w:left="2160" w:hanging="0"/>
              <w:jc w:val="right"/>
              <w:rPr>
                <w:rFonts w:ascii="Courier New" w:hAnsi="Courier New" w:cs="Courier New"/>
                <w:sz w:val="18"/>
              </w:rPr>
            </w:pPr>
            <w:r>
              <w:rPr>
                <w:rFonts w:cs="Courier New" w:ascii="Courier New" w:hAnsi="Courier New"/>
                <w:sz w:val="18"/>
              </w:rPr>
              <w:t>side 2.7132e-8,</w:t>
            </w:r>
          </w:p>
          <w:p>
            <w:pPr>
              <w:pStyle w:val="Normal"/>
              <w:widowControl w:val="false"/>
              <w:spacing w:lineRule="auto" w:line="240" w:before="0" w:after="0"/>
              <w:ind w:left="2160" w:hanging="0"/>
              <w:jc w:val="right"/>
              <w:rPr>
                <w:rFonts w:ascii="Courier New" w:hAnsi="Courier New" w:cs="Courier New"/>
                <w:sz w:val="18"/>
              </w:rPr>
            </w:pPr>
            <w:r>
              <w:rPr>
                <w:rFonts w:cs="Courier New" w:ascii="Courier New" w:hAnsi="Courier New"/>
                <w:sz w:val="18"/>
              </w:rPr>
              <w:t>top 5.7132e-8,</w:t>
            </w:r>
          </w:p>
          <w:p>
            <w:pPr>
              <w:pStyle w:val="Normal"/>
              <w:widowControl w:val="false"/>
              <w:spacing w:lineRule="auto" w:line="240" w:before="0" w:after="0"/>
              <w:ind w:left="2160" w:hanging="0"/>
              <w:jc w:val="right"/>
              <w:rPr>
                <w:rFonts w:ascii="Courier New" w:hAnsi="Courier New" w:cs="Courier New"/>
                <w:sz w:val="18"/>
              </w:rPr>
            </w:pPr>
            <w:r>
              <w:rPr>
                <w:rFonts w:cs="Courier New" w:ascii="Courier New" w:hAnsi="Courier New"/>
                <w:sz w:val="18"/>
              </w:rPr>
              <w:t>bottom 4.7132e-8;</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w:t>
            </w:r>
          </w:p>
          <w:p>
            <w:pPr>
              <w:pStyle w:val="Normal"/>
              <w:widowControl w:val="false"/>
              <w:spacing w:lineRule="auto" w:line="240" w:before="0" w:after="0"/>
              <w:jc w:val="right"/>
              <w:rPr>
                <w:rFonts w:ascii="Courier New" w:hAnsi="Courier New" w:cs="Courier New"/>
                <w:sz w:val="18"/>
              </w:rPr>
            </w:pPr>
            <w:r>
              <w:rPr>
                <w:rFonts w:cs="Courier New" w:ascii="Courier New" w:hAnsi="Courier New"/>
                <w:sz w:val="18"/>
              </w:rPr>
              <w:t>4.172e-12;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incoming temperature</w:t>
            </w:r>
          </w:p>
          <w:p>
            <w:pPr>
              <w:pStyle w:val="Normal"/>
              <w:widowControl w:val="false"/>
              <w:spacing w:lineRule="auto" w:line="240" w:before="0" w:after="0"/>
              <w:ind w:left="3600" w:hanging="0"/>
              <w:jc w:val="right"/>
              <w:rPr>
                <w:rFonts w:ascii="Courier New" w:hAnsi="Courier New" w:cs="Courier New"/>
                <w:sz w:val="18"/>
              </w:rPr>
            </w:pPr>
            <w:r>
              <w:rPr>
                <w:rFonts w:cs="Courier New" w:ascii="Courier New" w:hAnsi="Courier New"/>
                <w:sz w:val="18"/>
              </w:rPr>
              <w:t>300;</w:t>
            </w:r>
          </w:p>
        </w:tc>
        <w:tc>
          <w:tcPr>
            <w:tcW w:w="5044" w:type="dxa"/>
            <w:tcBorders>
              <w:top w:val="nil"/>
              <w:left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2707005" cy="746125"/>
                  <wp:effectExtent l="0" t="0" r="0" b="0"/>
                  <wp:docPr id="17"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descr=""/>
                          <pic:cNvPicPr>
                            <a:picLocks noChangeAspect="1" noChangeArrowheads="1"/>
                          </pic:cNvPicPr>
                        </pic:nvPicPr>
                        <pic:blipFill>
                          <a:blip r:embed="rId20"/>
                          <a:stretch>
                            <a:fillRect/>
                          </a:stretch>
                        </pic:blipFill>
                        <pic:spPr bwMode="auto">
                          <a:xfrm>
                            <a:off x="0" y="0"/>
                            <a:ext cx="2707005" cy="746125"/>
                          </a:xfrm>
                          <a:prstGeom prst="rect">
                            <a:avLst/>
                          </a:prstGeom>
                        </pic:spPr>
                      </pic:pic>
                    </a:graphicData>
                  </a:graphic>
                </wp:inline>
              </w:drawing>
            </w:r>
          </w:p>
          <w:p>
            <w:pPr>
              <w:pStyle w:val="Caption1"/>
              <w:widowControl w:val="false"/>
              <w:spacing w:before="0" w:after="0"/>
              <w:jc w:val="center"/>
              <w:rPr/>
            </w:pPr>
            <w:r>
              <w:rPr/>
              <w:t>Figure 11: Microchannel cavity layer</w:t>
            </w:r>
          </w:p>
          <w:p>
            <w:pPr>
              <w:pStyle w:val="Normal"/>
              <w:widowControl w:val="false"/>
              <w:spacing w:before="0" w:after="0"/>
              <w:jc w:val="center"/>
              <w:rPr>
                <w:sz w:val="20"/>
              </w:rPr>
            </w:pPr>
            <w:r>
              <w:rPr>
                <w:sz w:val="20"/>
              </w:rPr>
            </w:r>
          </w:p>
        </w:tc>
      </w:tr>
    </w:tbl>
    <w:p>
      <w:pPr>
        <w:pStyle w:val="Heading4"/>
        <w:rPr/>
      </w:pPr>
      <w:r>
        <w:rPr/>
        <w:t>Microchannel 2-resistor model</w:t>
      </w:r>
    </w:p>
    <w:p>
      <w:pPr>
        <w:pStyle w:val="Normal"/>
        <w:ind w:left="720" w:hanging="0"/>
        <w:jc w:val="both"/>
        <w:rPr>
          <w:rFonts w:ascii="Courier New" w:hAnsi="Courier New" w:cs="Courier New"/>
          <w:sz w:val="18"/>
        </w:rPr>
      </w:pPr>
      <w:r>
        <w:rPr>
          <w:rFonts w:cs="Courier New" w:ascii="Courier New" w:hAnsi="Courier New"/>
          <w:sz w:val="18"/>
        </w:rPr>
        <w:t>microchannel2rm :</w:t>
      </w:r>
    </w:p>
    <w:p>
      <w:pPr>
        <w:pStyle w:val="Normal"/>
        <w:ind w:left="1440" w:hanging="0"/>
        <w:jc w:val="both"/>
        <w:rPr>
          <w:rFonts w:ascii="Courier New" w:hAnsi="Courier New" w:cs="Courier New"/>
          <w:sz w:val="18"/>
        </w:rPr>
      </w:pPr>
      <w:r>
        <w:rPr>
          <w:rFonts w:cs="Courier New" w:ascii="Courier New" w:hAnsi="Courier New"/>
          <w:sz w:val="18"/>
        </w:rPr>
        <w:t>height DVALUE ;</w:t>
      </w:r>
    </w:p>
    <w:p>
      <w:pPr>
        <w:pStyle w:val="Normal"/>
        <w:ind w:left="1440" w:hanging="0"/>
        <w:jc w:val="both"/>
        <w:rPr>
          <w:rFonts w:ascii="Courier New" w:hAnsi="Courier New" w:cs="Courier New"/>
          <w:sz w:val="18"/>
        </w:rPr>
      </w:pPr>
      <w:r>
        <w:rPr>
          <w:rFonts w:cs="Courier New" w:ascii="Courier New" w:hAnsi="Courier New"/>
          <w:sz w:val="18"/>
        </w:rPr>
        <w:t>channel length DVALUE ;</w:t>
      </w:r>
    </w:p>
    <w:p>
      <w:pPr>
        <w:pStyle w:val="Normal"/>
        <w:ind w:left="1440" w:hanging="0"/>
        <w:jc w:val="both"/>
        <w:rPr>
          <w:rFonts w:ascii="Courier New" w:hAnsi="Courier New" w:cs="Courier New"/>
          <w:sz w:val="18"/>
        </w:rPr>
      </w:pPr>
      <w:r>
        <w:rPr>
          <w:rFonts w:cs="Courier New" w:ascii="Courier New" w:hAnsi="Courier New"/>
          <w:sz w:val="18"/>
        </w:rPr>
        <w:t>wall length DVALUE ;</w:t>
      </w:r>
    </w:p>
    <w:p>
      <w:pPr>
        <w:pStyle w:val="Normal"/>
        <w:ind w:left="1440" w:hanging="0"/>
        <w:jc w:val="both"/>
        <w:rPr>
          <w:rFonts w:ascii="Courier New" w:hAnsi="Courier New" w:cs="Courier New"/>
          <w:sz w:val="18"/>
        </w:rPr>
      </w:pPr>
      <w:r>
        <w:rPr>
          <w:rFonts w:cs="Courier New" w:ascii="Courier New" w:hAnsi="Courier New"/>
          <w:sz w:val="18"/>
        </w:rPr>
        <w:t>wall material MATERIAL_ID  ;</w:t>
      </w:r>
    </w:p>
    <w:p>
      <w:pPr>
        <w:pStyle w:val="Normal"/>
        <w:ind w:left="1440" w:hanging="0"/>
        <w:jc w:val="both"/>
        <w:rPr>
          <w:rFonts w:ascii="Courier New" w:hAnsi="Courier New" w:cs="Courier New"/>
          <w:sz w:val="18"/>
        </w:rPr>
      </w:pPr>
      <w:r>
        <w:rPr>
          <w:rFonts w:cs="Courier New" w:ascii="Courier New" w:hAnsi="Courier New"/>
          <w:sz w:val="18"/>
        </w:rPr>
        <w:t>coolant flow rate DVALUE ;</w:t>
      </w:r>
    </w:p>
    <w:p>
      <w:pPr>
        <w:pStyle w:val="Normal"/>
        <w:tabs>
          <w:tab w:val="clear" w:pos="720"/>
          <w:tab w:val="left" w:pos="6379" w:leader="none"/>
        </w:tabs>
        <w:ind w:left="1440" w:hanging="0"/>
        <w:jc w:val="both"/>
        <w:rPr>
          <w:rFonts w:ascii="Courier New" w:hAnsi="Courier New" w:cs="Courier New"/>
          <w:sz w:val="18"/>
        </w:rPr>
      </w:pPr>
      <w:r>
        <w:rPr>
          <w:rFonts w:cs="Courier New" w:ascii="Courier New" w:hAnsi="Courier New"/>
          <w:sz w:val="18"/>
        </w:rPr>
        <w:t>coolant heat transfer coefficient [ DVALUE |</w:t>
        <w:tab/>
        <w:t>top  DVALUE ,</w:t>
      </w:r>
    </w:p>
    <w:p>
      <w:pPr>
        <w:pStyle w:val="Normal"/>
        <w:tabs>
          <w:tab w:val="clear" w:pos="720"/>
          <w:tab w:val="left" w:pos="6379" w:leader="none"/>
          <w:tab w:val="left" w:pos="10915" w:leader="none"/>
        </w:tabs>
        <w:jc w:val="both"/>
        <w:rPr>
          <w:rFonts w:ascii="Courier New" w:hAnsi="Courier New" w:cs="Courier New"/>
          <w:sz w:val="18"/>
        </w:rPr>
      </w:pPr>
      <w:r>
        <w:rPr>
          <w:rFonts w:cs="Courier New" w:ascii="Courier New" w:hAnsi="Courier New"/>
          <w:sz w:val="18"/>
        </w:rPr>
        <w:tab/>
        <w:t>bottom DVALUE ] ;</w:t>
      </w:r>
    </w:p>
    <w:p>
      <w:pPr>
        <w:pStyle w:val="Normal"/>
        <w:ind w:left="1440" w:hanging="0"/>
        <w:jc w:val="both"/>
        <w:rPr>
          <w:rFonts w:ascii="Courier New" w:hAnsi="Courier New" w:cs="Courier New"/>
          <w:sz w:val="18"/>
        </w:rPr>
      </w:pPr>
      <w:r>
        <w:rPr>
          <w:rFonts w:cs="Courier New" w:ascii="Courier New" w:hAnsi="Courier New"/>
          <w:sz w:val="18"/>
        </w:rPr>
        <w:t>coolant volumetric heat capacity DVALUE ;</w:t>
      </w:r>
    </w:p>
    <w:p>
      <w:pPr>
        <w:pStyle w:val="Normal"/>
        <w:ind w:left="1440" w:hanging="0"/>
        <w:jc w:val="both"/>
        <w:rPr>
          <w:rFonts w:ascii="Courier New" w:hAnsi="Courier New" w:cs="Courier New"/>
          <w:sz w:val="18"/>
        </w:rPr>
      </w:pPr>
      <w:r>
        <w:rPr>
          <w:rFonts w:cs="Courier New" w:ascii="Courier New" w:hAnsi="Courier New"/>
          <w:sz w:val="18"/>
        </w:rPr>
        <w:t>coolant incoming temperature DVALUE ;</w:t>
      </w:r>
    </w:p>
    <w:p>
      <w:pPr>
        <w:pStyle w:val="Normal"/>
        <w:jc w:val="both"/>
        <w:rPr/>
      </w:pPr>
      <w:r>
        <w:rPr/>
        <w:t>Note that the only change from microchannel-4rm model is the omission of the first- and the last-wall widths and the side-way heat transfer coefficient, as was described in Section 5.A.ii. Also, remember that these heat transfer coefficients are effective “projections” of the heat transfer coefficients on the top and the bottom surfaces of the cavity. If you have the top, bottom and side heat transfer coefficients (HTCs) for a microchannel structure, you can compute these effective HTCs using the following formulae [2]:</w:t>
      </w:r>
    </w:p>
    <w:p>
      <w:pPr>
        <w:pStyle w:val="Normal"/>
        <w:jc w:val="center"/>
        <w:rPr/>
      </w:pPr>
      <w:r>
        <w:rPr/>
      </w:r>
      <m:oMathPara xmlns:m="http://schemas.openxmlformats.org/officeDocument/2006/math">
        <m:oMathParaPr>
          <m:jc m:val="center"/>
        </m:oMathParaPr>
        <m:oMath>
          <m:eqArr>
            <m:e>
              <m:sSub>
                <m:e>
                  <m:r>
                    <m:rPr>
                      <m:lit/>
                      <m:nor/>
                    </m:rPr>
                    <w:rPr>
                      <w:rFonts w:ascii="Cambria Math" w:hAnsi="Cambria Math"/>
                    </w:rPr>
                    <m:t xml:space="preserve">HTC</m:t>
                  </m:r>
                </m:e>
                <m:sub>
                  <m:r>
                    <m:rPr>
                      <m:lit/>
                      <m:nor/>
                    </m:rPr>
                    <w:rPr>
                      <w:rFonts w:ascii="Cambria Math" w:hAnsi="Cambria Math"/>
                    </w:rPr>
                    <m:t xml:space="preserve">top,eff</m:t>
                  </m:r>
                </m:sub>
              </m:sSub>
              <m:r>
                <w:rPr>
                  <w:rFonts w:ascii="Cambria Math" w:hAnsi="Cambria Math"/>
                </w:rPr>
                <m:t xml:space="preserve">=</m:t>
              </m:r>
              <m:f>
                <m:num>
                  <m:sSub>
                    <m:e>
                      <m:r>
                        <m:rPr>
                          <m:lit/>
                          <m:nor/>
                        </m:rPr>
                        <w:rPr>
                          <w:rFonts w:ascii="Cambria Math" w:hAnsi="Cambria Math"/>
                        </w:rPr>
                        <m:t xml:space="preserve">HTC</m:t>
                      </m:r>
                    </m:e>
                    <m:sub>
                      <m:r>
                        <m:rPr>
                          <m:lit/>
                          <m:nor/>
                        </m:rPr>
                        <w:rPr>
                          <w:rFonts w:ascii="Cambria Math" w:hAnsi="Cambria Math"/>
                        </w:rPr>
                        <m:t xml:space="preserve">top</m:t>
                      </m:r>
                    </m:sub>
                  </m:sSub>
                  <m:r>
                    <w:rPr>
                      <w:rFonts w:ascii="Cambria Math" w:hAnsi="Cambria Math"/>
                    </w:rPr>
                    <m:t xml:space="preserve">×</m:t>
                  </m:r>
                  <m:r>
                    <m:rPr>
                      <m:lit/>
                      <m:nor/>
                    </m:rPr>
                    <w:rPr>
                      <w:rFonts w:ascii="Cambria Math" w:hAnsi="Cambria Math"/>
                    </w:rPr>
                    <m:t xml:space="preserve">channel</m:t>
                  </m:r>
                  <m:r>
                    <m:rPr>
                      <m:lit/>
                      <m:nor/>
                    </m:rPr>
                    <w:rPr>
                      <w:rFonts w:ascii="Cambria Math" w:hAnsi="Cambria Math"/>
                    </w:rPr>
                    <m:t xml:space="preserve">width</m:t>
                  </m:r>
                  <m:r>
                    <w:rPr>
                      <w:rFonts w:ascii="Cambria Math" w:hAnsi="Cambria Math"/>
                    </w:rPr>
                    <m:t xml:space="preserve">+</m:t>
                  </m:r>
                  <m:sSub>
                    <m:e>
                      <m:r>
                        <m:rPr>
                          <m:lit/>
                          <m:nor/>
                        </m:rPr>
                        <w:rPr>
                          <w:rFonts w:ascii="Cambria Math" w:hAnsi="Cambria Math"/>
                        </w:rPr>
                        <m:t xml:space="preserve">HTC</m:t>
                      </m:r>
                    </m:e>
                    <m:sub>
                      <m:r>
                        <m:rPr>
                          <m:lit/>
                          <m:nor/>
                        </m:rPr>
                        <w:rPr>
                          <w:rFonts w:ascii="Cambria Math" w:hAnsi="Cambria Math"/>
                        </w:rPr>
                        <m:t xml:space="preserve">side</m:t>
                      </m:r>
                    </m:sub>
                  </m:sSub>
                  <m:r>
                    <w:rPr>
                      <w:rFonts w:ascii="Cambria Math" w:hAnsi="Cambria Math"/>
                    </w:rPr>
                    <m:t xml:space="preserve">×</m:t>
                  </m:r>
                  <m:r>
                    <m:rPr>
                      <m:lit/>
                      <m:nor/>
                    </m:rPr>
                    <w:rPr>
                      <w:rFonts w:ascii="Cambria Math" w:hAnsi="Cambria Math"/>
                    </w:rPr>
                    <m:t xml:space="preserve">channel</m:t>
                  </m:r>
                  <m:r>
                    <m:rPr>
                      <m:lit/>
                      <m:nor/>
                    </m:rPr>
                    <w:rPr>
                      <w:rFonts w:ascii="Cambria Math" w:hAnsi="Cambria Math"/>
                    </w:rPr>
                    <m:t xml:space="preserve">height</m:t>
                  </m:r>
                </m:num>
                <m:den>
                  <m:r>
                    <m:rPr>
                      <m:lit/>
                      <m:nor/>
                    </m:rPr>
                    <w:rPr>
                      <w:rFonts w:ascii="Cambria Math" w:hAnsi="Cambria Math"/>
                    </w:rPr>
                    <m:t xml:space="preserve">channel</m:t>
                  </m:r>
                  <m:r>
                    <m:rPr>
                      <m:lit/>
                      <m:nor/>
                    </m:rPr>
                    <w:rPr>
                      <w:rFonts w:ascii="Cambria Math" w:hAnsi="Cambria Math"/>
                    </w:rPr>
                    <m:t xml:space="preserve">pitch</m:t>
                  </m:r>
                </m:den>
              </m:f>
            </m:e>
            <m:e>
              <m:sSub>
                <m:e>
                  <m:r>
                    <m:rPr>
                      <m:lit/>
                      <m:nor/>
                    </m:rPr>
                    <w:rPr>
                      <w:rFonts w:ascii="Cambria Math" w:hAnsi="Cambria Math"/>
                    </w:rPr>
                    <m:t xml:space="preserve">HTC</m:t>
                  </m:r>
                </m:e>
                <m:sub>
                  <m:r>
                    <m:rPr>
                      <m:lit/>
                      <m:nor/>
                    </m:rPr>
                    <w:rPr>
                      <w:rFonts w:ascii="Cambria Math" w:hAnsi="Cambria Math"/>
                    </w:rPr>
                    <m:t xml:space="preserve">bottom,eff</m:t>
                  </m:r>
                </m:sub>
              </m:sSub>
              <m:r>
                <w:rPr>
                  <w:rFonts w:ascii="Cambria Math" w:hAnsi="Cambria Math"/>
                </w:rPr>
                <m:t xml:space="preserve">=</m:t>
              </m:r>
              <m:f>
                <m:num>
                  <m:sSub>
                    <m:e>
                      <m:r>
                        <m:rPr>
                          <m:lit/>
                          <m:nor/>
                        </m:rPr>
                        <w:rPr>
                          <w:rFonts w:ascii="Cambria Math" w:hAnsi="Cambria Math"/>
                        </w:rPr>
                        <m:t xml:space="preserve">HTC</m:t>
                      </m:r>
                    </m:e>
                    <m:sub>
                      <m:r>
                        <m:rPr>
                          <m:lit/>
                          <m:nor/>
                        </m:rPr>
                        <w:rPr>
                          <w:rFonts w:ascii="Cambria Math" w:hAnsi="Cambria Math"/>
                        </w:rPr>
                        <m:t xml:space="preserve">bottom</m:t>
                      </m:r>
                    </m:sub>
                  </m:sSub>
                  <m:r>
                    <w:rPr>
                      <w:rFonts w:ascii="Cambria Math" w:hAnsi="Cambria Math"/>
                    </w:rPr>
                    <m:t xml:space="preserve">×</m:t>
                  </m:r>
                  <m:r>
                    <m:rPr>
                      <m:lit/>
                      <m:nor/>
                    </m:rPr>
                    <w:rPr>
                      <w:rFonts w:ascii="Cambria Math" w:hAnsi="Cambria Math"/>
                    </w:rPr>
                    <m:t xml:space="preserve">channel</m:t>
                  </m:r>
                  <m:r>
                    <m:rPr>
                      <m:lit/>
                      <m:nor/>
                    </m:rPr>
                    <w:rPr>
                      <w:rFonts w:ascii="Cambria Math" w:hAnsi="Cambria Math"/>
                    </w:rPr>
                    <m:t xml:space="preserve">width</m:t>
                  </m:r>
                  <m:r>
                    <w:rPr>
                      <w:rFonts w:ascii="Cambria Math" w:hAnsi="Cambria Math"/>
                    </w:rPr>
                    <m:t xml:space="preserve">+</m:t>
                  </m:r>
                  <m:sSub>
                    <m:e>
                      <m:r>
                        <m:rPr>
                          <m:lit/>
                          <m:nor/>
                        </m:rPr>
                        <w:rPr>
                          <w:rFonts w:ascii="Cambria Math" w:hAnsi="Cambria Math"/>
                        </w:rPr>
                        <m:t xml:space="preserve">HTC</m:t>
                      </m:r>
                    </m:e>
                    <m:sub>
                      <m:r>
                        <m:rPr>
                          <m:lit/>
                          <m:nor/>
                        </m:rPr>
                        <w:rPr>
                          <w:rFonts w:ascii="Cambria Math" w:hAnsi="Cambria Math"/>
                        </w:rPr>
                        <m:t xml:space="preserve">side</m:t>
                      </m:r>
                    </m:sub>
                  </m:sSub>
                  <m:r>
                    <w:rPr>
                      <w:rFonts w:ascii="Cambria Math" w:hAnsi="Cambria Math"/>
                    </w:rPr>
                    <m:t xml:space="preserve">×</m:t>
                  </m:r>
                  <m:r>
                    <m:rPr>
                      <m:lit/>
                      <m:nor/>
                    </m:rPr>
                    <w:rPr>
                      <w:rFonts w:ascii="Cambria Math" w:hAnsi="Cambria Math"/>
                    </w:rPr>
                    <m:t xml:space="preserve">channel</m:t>
                  </m:r>
                  <m:r>
                    <m:rPr>
                      <m:lit/>
                      <m:nor/>
                    </m:rPr>
                    <w:rPr>
                      <w:rFonts w:ascii="Cambria Math" w:hAnsi="Cambria Math"/>
                    </w:rPr>
                    <m:t xml:space="preserve">height</m:t>
                  </m:r>
                </m:num>
                <m:den>
                  <m:r>
                    <m:rPr>
                      <m:lit/>
                      <m:nor/>
                    </m:rPr>
                    <w:rPr>
                      <w:rFonts w:ascii="Cambria Math" w:hAnsi="Cambria Math"/>
                    </w:rPr>
                    <m:t xml:space="preserve">channel</m:t>
                  </m:r>
                  <m:r>
                    <m:rPr>
                      <m:lit/>
                      <m:nor/>
                    </m:rPr>
                    <w:rPr>
                      <w:rFonts w:ascii="Cambria Math" w:hAnsi="Cambria Math"/>
                    </w:rPr>
                    <m:t xml:space="preserve">pitch</m:t>
                  </m:r>
                </m:den>
              </m:f>
            </m:e>
          </m:eqArr>
        </m:oMath>
      </m:oMathPara>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4605"/>
        <w:gridCol w:w="5044"/>
      </w:tblGrid>
      <w:tr>
        <w:trPr/>
        <w:tc>
          <w:tcPr>
            <w:tcW w:w="4605"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w:t>
            </w:r>
          </w:p>
        </w:tc>
        <w:tc>
          <w:tcPr>
            <w:tcW w:w="5044"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c>
          <w:tcPr>
            <w:tcW w:w="4605" w:type="dxa"/>
            <w:tcBorders>
              <w:top w:val="nil"/>
              <w:right w:val="nil"/>
            </w:tcBorders>
            <w:shd w:fill="auto" w:val="clear"/>
            <w:vAlign w:val="center"/>
          </w:tcPr>
          <w:p>
            <w:pPr>
              <w:pStyle w:val="Normal"/>
              <w:widowControl w:val="false"/>
              <w:spacing w:lineRule="auto" w:line="240" w:before="0" w:after="0"/>
              <w:jc w:val="center"/>
              <w:rPr>
                <w:rFonts w:ascii="Courier New" w:hAnsi="Courier New" w:cs="Courier New"/>
                <w:sz w:val="18"/>
              </w:rPr>
            </w:pPr>
            <w:r>
              <w:rPr>
                <w:rFonts w:cs="Courier New" w:ascii="Courier New" w:hAnsi="Courier New"/>
                <w:sz w:val="18"/>
              </w:rPr>
              <w:t>microchannel2rm:</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channel length 50;</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wall length 50;</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wall material SILICON;</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coolant flow rate 42;</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coolant heat transfer coefficient</w:t>
            </w:r>
          </w:p>
          <w:p>
            <w:pPr>
              <w:pStyle w:val="Normal"/>
              <w:widowControl w:val="false"/>
              <w:spacing w:lineRule="auto" w:line="240" w:before="0" w:after="0"/>
              <w:ind w:left="2160" w:hanging="0"/>
              <w:jc w:val="center"/>
              <w:rPr>
                <w:rFonts w:ascii="Courier New" w:hAnsi="Courier New" w:cs="Courier New"/>
                <w:sz w:val="18"/>
              </w:rPr>
            </w:pPr>
            <w:r>
              <w:rPr>
                <w:rFonts w:cs="Courier New" w:ascii="Courier New" w:hAnsi="Courier New"/>
                <w:sz w:val="18"/>
              </w:rPr>
              <w:t>top 5.5698e-8,</w:t>
            </w:r>
          </w:p>
          <w:p>
            <w:pPr>
              <w:pStyle w:val="Normal"/>
              <w:widowControl w:val="false"/>
              <w:spacing w:lineRule="auto" w:line="240" w:before="0" w:after="0"/>
              <w:ind w:left="2160" w:hanging="0"/>
              <w:jc w:val="center"/>
              <w:rPr>
                <w:rFonts w:ascii="Courier New" w:hAnsi="Courier New" w:cs="Courier New"/>
                <w:sz w:val="18"/>
              </w:rPr>
            </w:pPr>
            <w:r>
              <w:rPr>
                <w:rFonts w:cs="Courier New" w:ascii="Courier New" w:hAnsi="Courier New"/>
                <w:sz w:val="18"/>
              </w:rPr>
              <w:t>bottom 5.0698e-8;</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coolant volumetric heat capacity</w:t>
            </w:r>
          </w:p>
          <w:p>
            <w:pPr>
              <w:pStyle w:val="Normal"/>
              <w:widowControl w:val="false"/>
              <w:spacing w:lineRule="auto" w:line="240" w:before="0" w:after="0"/>
              <w:jc w:val="center"/>
              <w:rPr>
                <w:rFonts w:ascii="Courier New" w:hAnsi="Courier New" w:cs="Courier New"/>
                <w:sz w:val="18"/>
              </w:rPr>
            </w:pPr>
            <w:r>
              <w:rPr>
                <w:rFonts w:cs="Courier New" w:ascii="Courier New" w:hAnsi="Courier New"/>
                <w:sz w:val="18"/>
              </w:rPr>
              <w:t>4.172e-12;</w:t>
            </w:r>
          </w:p>
          <w:p>
            <w:pPr>
              <w:pStyle w:val="Normal"/>
              <w:widowControl w:val="false"/>
              <w:spacing w:lineRule="auto" w:line="240" w:before="0" w:after="0"/>
              <w:ind w:left="720" w:hanging="0"/>
              <w:jc w:val="center"/>
              <w:rPr>
                <w:rFonts w:ascii="Courier New" w:hAnsi="Courier New" w:cs="Courier New"/>
                <w:sz w:val="18"/>
              </w:rPr>
            </w:pPr>
            <w:r>
              <w:rPr>
                <w:rFonts w:cs="Courier New" w:ascii="Courier New" w:hAnsi="Courier New"/>
                <w:sz w:val="18"/>
              </w:rPr>
              <w:t>coolant incoming temperature</w:t>
            </w:r>
          </w:p>
          <w:p>
            <w:pPr>
              <w:pStyle w:val="Normal"/>
              <w:widowControl w:val="false"/>
              <w:spacing w:lineRule="auto" w:line="240" w:before="0" w:after="0"/>
              <w:ind w:left="3600" w:hanging="0"/>
              <w:jc w:val="center"/>
              <w:rPr>
                <w:rFonts w:ascii="Courier New" w:hAnsi="Courier New" w:cs="Courier New"/>
                <w:sz w:val="18"/>
              </w:rPr>
            </w:pPr>
            <w:r>
              <w:rPr>
                <w:rFonts w:cs="Courier New" w:ascii="Courier New" w:hAnsi="Courier New"/>
                <w:sz w:val="18"/>
              </w:rPr>
              <w:t>300;</w:t>
            </w:r>
          </w:p>
        </w:tc>
        <w:tc>
          <w:tcPr>
            <w:tcW w:w="5044" w:type="dxa"/>
            <w:tcBorders>
              <w:top w:val="nil"/>
              <w:left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2707005" cy="746125"/>
                  <wp:effectExtent l="0" t="0" r="0" b="0"/>
                  <wp:docPr id="18" name="Pictur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0" descr=""/>
                          <pic:cNvPicPr>
                            <a:picLocks noChangeAspect="1" noChangeArrowheads="1"/>
                          </pic:cNvPicPr>
                        </pic:nvPicPr>
                        <pic:blipFill>
                          <a:blip r:embed="rId21"/>
                          <a:stretch>
                            <a:fillRect/>
                          </a:stretch>
                        </pic:blipFill>
                        <pic:spPr bwMode="auto">
                          <a:xfrm>
                            <a:off x="0" y="0"/>
                            <a:ext cx="2707005" cy="746125"/>
                          </a:xfrm>
                          <a:prstGeom prst="rect">
                            <a:avLst/>
                          </a:prstGeom>
                        </pic:spPr>
                      </pic:pic>
                    </a:graphicData>
                  </a:graphic>
                </wp:inline>
              </w:drawing>
            </w:r>
          </w:p>
          <w:p>
            <w:pPr>
              <w:pStyle w:val="Caption1"/>
              <w:widowControl w:val="false"/>
              <w:spacing w:before="0" w:after="0"/>
              <w:jc w:val="center"/>
              <w:rPr/>
            </w:pPr>
            <w:r>
              <w:rPr/>
              <w:t>Figure 12: Microchannel cavity layer</w:t>
            </w:r>
          </w:p>
          <w:p>
            <w:pPr>
              <w:pStyle w:val="Normal"/>
              <w:widowControl w:val="false"/>
              <w:spacing w:before="0" w:after="0"/>
              <w:jc w:val="center"/>
              <w:rPr>
                <w:sz w:val="20"/>
              </w:rPr>
            </w:pPr>
            <w:r>
              <w:rPr>
                <w:sz w:val="20"/>
              </w:rPr>
            </w:r>
          </w:p>
        </w:tc>
      </w:tr>
    </w:tbl>
    <w:p>
      <w:pPr>
        <w:pStyle w:val="Heading4"/>
        <w:rPr/>
      </w:pPr>
      <w:r>
        <w:rPr/>
        <w:t>Pinfins</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spacing w:lineRule="auto" w:line="240" w:before="0" w:after="0"/>
        <w:ind w:left="720" w:hanging="0"/>
        <w:rPr>
          <w:rFonts w:ascii="Courier New" w:hAnsi="Courier New" w:cs="Courier New"/>
          <w:sz w:val="18"/>
        </w:rPr>
      </w:pPr>
      <w:r>
        <w:rPr>
          <w:rFonts w:cs="Courier New" w:ascii="Courier New" w:hAnsi="Courier New"/>
          <w:sz w:val="18"/>
        </w:rPr>
        <w:t>pinfin:</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spacing w:lineRule="auto" w:line="240" w:before="0" w:after="0"/>
        <w:rPr>
          <w:rFonts w:ascii="Courier New" w:hAnsi="Courier New" w:cs="Courier New"/>
          <w:sz w:val="18"/>
        </w:rPr>
      </w:pPr>
      <w:r>
        <w:rPr>
          <w:rFonts w:cs="Courier New" w:ascii="Courier New" w:hAnsi="Courier New"/>
          <w:sz w:val="18"/>
        </w:rPr>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height DVALUE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pin diameter   DVALUE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pin pitch     DVALUE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pin distribution [inline | staggered]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pin material MATERIAL_ID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darcy velocity DAVLUE ;</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coolant volumetric heat capacity DVALUE;</w:t>
      </w:r>
    </w:p>
    <w:p>
      <w:pPr>
        <w:pStyle w:val="Normal"/>
        <w:widowControl w:val="false"/>
        <w:tabs>
          <w:tab w:val="clear" w:pos="720"/>
          <w:tab w:val="left" w:pos="566" w:leader="none"/>
          <w:tab w:val="left" w:pos="1133" w:leader="none"/>
          <w:tab w:val="left" w:pos="1700" w:leader="none"/>
          <w:tab w:val="left" w:pos="2267" w:leader="none"/>
          <w:tab w:val="left" w:pos="2834" w:leader="none"/>
          <w:tab w:val="left" w:pos="3401" w:leader="none"/>
          <w:tab w:val="left" w:pos="3968" w:leader="none"/>
          <w:tab w:val="left" w:pos="4535" w:leader="none"/>
          <w:tab w:val="left" w:pos="5102" w:leader="none"/>
          <w:tab w:val="left" w:pos="5669" w:leader="none"/>
          <w:tab w:val="left" w:pos="6236" w:leader="none"/>
          <w:tab w:val="left" w:pos="6803" w:leader="none"/>
        </w:tabs>
        <w:ind w:left="1440" w:hanging="0"/>
        <w:rPr>
          <w:rFonts w:ascii="Courier New" w:hAnsi="Courier New" w:cs="Courier New"/>
          <w:sz w:val="18"/>
        </w:rPr>
      </w:pPr>
      <w:r>
        <w:rPr>
          <w:rFonts w:cs="Courier New" w:ascii="Courier New" w:hAnsi="Courier New"/>
          <w:sz w:val="18"/>
        </w:rPr>
        <w:t>coolant incoming temperature  DVALUE;</w:t>
      </w:r>
    </w:p>
    <w:p>
      <w:pPr>
        <w:pStyle w:val="Normal"/>
        <w:jc w:val="both"/>
        <w:rPr/>
      </w:pPr>
      <w:r>
        <w:rPr/>
        <w:t>where</w:t>
      </w:r>
    </w:p>
    <w:p>
      <w:pPr>
        <w:pStyle w:val="ListParagraph"/>
        <w:numPr>
          <w:ilvl w:val="0"/>
          <w:numId w:val="7"/>
        </w:numPr>
        <w:jc w:val="both"/>
        <w:rPr/>
      </w:pPr>
      <w:r>
        <w:rPr>
          <w:rFonts w:cs="Courier New" w:ascii="Courier New" w:hAnsi="Courier New"/>
          <w:sz w:val="18"/>
        </w:rPr>
        <w:t>height</w:t>
      </w:r>
      <w:r>
        <w:rPr/>
        <w:t xml:space="preserve"> (in </w:t>
      </w:r>
      <w:r>
        <w:rPr>
          <w:rFonts w:cs="Calibri" w:cstheme="minorHAnsi"/>
        </w:rPr>
        <w:t>µ</w:t>
      </w:r>
      <w:r>
        <w:rPr/>
        <w:t>m) corresponds to the height of the pinfin layer. This must exactly correspond to the height of the pins in accordance with the 2RM-CTTM model,</w:t>
      </w:r>
    </w:p>
    <w:p>
      <w:pPr>
        <w:pStyle w:val="ListParagraph"/>
        <w:numPr>
          <w:ilvl w:val="0"/>
          <w:numId w:val="7"/>
        </w:numPr>
        <w:jc w:val="both"/>
        <w:rPr/>
      </w:pPr>
      <w:r>
        <w:rPr>
          <w:rFonts w:cs="Courier New" w:ascii="Courier New" w:hAnsi="Courier New"/>
          <w:sz w:val="18"/>
        </w:rPr>
        <w:t>pin diameter</w:t>
      </w:r>
      <w:r>
        <w:rPr/>
        <w:t xml:space="preserve"> and </w:t>
      </w:r>
      <w:r>
        <w:rPr>
          <w:rFonts w:cs="Courier New" w:ascii="Courier New" w:hAnsi="Courier New"/>
          <w:sz w:val="18"/>
        </w:rPr>
        <w:t xml:space="preserve">pin pitch </w:t>
      </w:r>
      <w:r>
        <w:rPr/>
        <w:t xml:space="preserve">are diameter and the pitch (all in </w:t>
      </w:r>
      <w:r>
        <w:rPr>
          <w:rFonts w:cs="Calibri" w:cstheme="minorHAnsi"/>
        </w:rPr>
        <w:t>µ</w:t>
      </w:r>
      <w:r>
        <w:rPr/>
        <w:t>m) of the pins. 3D-ICE uses this information to compute the pin density and the porosity of the model,</w:t>
      </w:r>
    </w:p>
    <w:p>
      <w:pPr>
        <w:pStyle w:val="ListParagraph"/>
        <w:numPr>
          <w:ilvl w:val="0"/>
          <w:numId w:val="7"/>
        </w:numPr>
        <w:jc w:val="both"/>
        <w:rPr/>
      </w:pPr>
      <w:r>
        <w:rPr>
          <w:rFonts w:cs="Courier New" w:ascii="Courier New" w:hAnsi="Courier New"/>
          <w:sz w:val="18"/>
        </w:rPr>
        <w:t xml:space="preserve">pin distribution </w:t>
      </w:r>
      <w:r>
        <w:rPr/>
        <w:t xml:space="preserve">defines the type of pinfin distribution- </w:t>
      </w:r>
      <w:r>
        <w:rPr>
          <w:rFonts w:cs="Courier New" w:ascii="Courier New" w:hAnsi="Courier New"/>
          <w:sz w:val="18"/>
        </w:rPr>
        <w:t xml:space="preserve">inline </w:t>
      </w:r>
      <w:r>
        <w:rPr/>
        <w:t xml:space="preserve">for inline (Fig. 4) and </w:t>
      </w:r>
      <w:r>
        <w:rPr>
          <w:rFonts w:cs="Courier New" w:ascii="Courier New" w:hAnsi="Courier New"/>
          <w:sz w:val="18"/>
        </w:rPr>
        <w:t>staggered</w:t>
      </w:r>
      <w:r>
        <w:rPr/>
        <w:t xml:space="preserve"> for staggered (Fig. 5),</w:t>
      </w:r>
    </w:p>
    <w:p>
      <w:pPr>
        <w:pStyle w:val="ListParagraph"/>
        <w:numPr>
          <w:ilvl w:val="0"/>
          <w:numId w:val="7"/>
        </w:numPr>
        <w:jc w:val="both"/>
        <w:rPr/>
      </w:pPr>
      <w:r>
        <w:rPr>
          <w:rFonts w:cs="Courier New" w:ascii="Courier New" w:hAnsi="Courier New"/>
          <w:sz w:val="18"/>
        </w:rPr>
        <w:t>MATERIAL_ID</w:t>
      </w:r>
      <w:r>
        <w:rPr/>
        <w:t xml:space="preserve"> is the identifier of the material composing the pins (the ID must be previously declared in the materials section),</w:t>
      </w:r>
    </w:p>
    <w:p>
      <w:pPr>
        <w:pStyle w:val="ListParagraph"/>
        <w:numPr>
          <w:ilvl w:val="0"/>
          <w:numId w:val="7"/>
        </w:numPr>
        <w:jc w:val="both"/>
        <w:rPr/>
      </w:pPr>
      <w:r>
        <w:rPr>
          <w:rFonts w:cs="Courier New" w:ascii="Courier New" w:hAnsi="Courier New"/>
          <w:sz w:val="18"/>
        </w:rPr>
        <w:t>darcy velocity</w:t>
      </w:r>
      <w:r>
        <w:rPr/>
        <w:t xml:space="preserve"> is expressed (in </w:t>
      </w:r>
      <w:r>
        <w:rPr>
          <w:rFonts w:cs="Calibri" w:cstheme="minorHAnsi"/>
        </w:rPr>
        <w:t>µ</w:t>
      </w:r>
      <w:r>
        <w:rPr/>
        <w:t>m/sec) and it refers to the darcy velocity in the cavity. This is used instead of the coolant flow rate because darcy velocities are more commonly measured quantities in experiments and CFD simulations due to their geometry independence, and more useful while expressing the heat transfer coefficient correlations in empirical studies.</w:t>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4605"/>
        <w:gridCol w:w="5044"/>
      </w:tblGrid>
      <w:tr>
        <w:trPr/>
        <w:tc>
          <w:tcPr>
            <w:tcW w:w="4605"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 (Pinfins inline)</w:t>
            </w:r>
          </w:p>
        </w:tc>
        <w:tc>
          <w:tcPr>
            <w:tcW w:w="5044"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c>
          <w:tcPr>
            <w:tcW w:w="4605" w:type="dxa"/>
            <w:tcBorders>
              <w:top w:val="nil"/>
              <w:right w:val="nil"/>
            </w:tcBorders>
            <w:shd w:fill="auto" w:val="clear"/>
            <w:vAlign w:val="center"/>
          </w:tcPr>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pinfin: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diameter   50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pitch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distribution inline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darcy velocity 1.1066e+06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w:t>
              <w:br/>
              <w:t>4.172638e-12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incoming temperature</w:t>
              <w:br/>
              <w:t>300.0 ;</w:t>
            </w:r>
          </w:p>
        </w:tc>
        <w:tc>
          <w:tcPr>
            <w:tcW w:w="5044" w:type="dxa"/>
            <w:tcBorders>
              <w:top w:val="nil"/>
              <w:left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2707005" cy="743585"/>
                  <wp:effectExtent l="0" t="0" r="0" b="0"/>
                  <wp:docPr id="19" name="Picture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
                          <pic:cNvPicPr>
                            <a:picLocks noChangeAspect="1" noChangeArrowheads="1"/>
                          </pic:cNvPicPr>
                        </pic:nvPicPr>
                        <pic:blipFill>
                          <a:blip r:embed="rId22"/>
                          <a:stretch>
                            <a:fillRect/>
                          </a:stretch>
                        </pic:blipFill>
                        <pic:spPr bwMode="auto">
                          <a:xfrm>
                            <a:off x="0" y="0"/>
                            <a:ext cx="2707005" cy="743585"/>
                          </a:xfrm>
                          <a:prstGeom prst="rect">
                            <a:avLst/>
                          </a:prstGeom>
                        </pic:spPr>
                      </pic:pic>
                    </a:graphicData>
                  </a:graphic>
                </wp:inline>
              </w:drawing>
            </w:r>
          </w:p>
          <w:p>
            <w:pPr>
              <w:pStyle w:val="Caption1"/>
              <w:widowControl w:val="false"/>
              <w:spacing w:before="0" w:after="0"/>
              <w:jc w:val="center"/>
              <w:rPr/>
            </w:pPr>
            <w:r>
              <w:rPr/>
              <w:t>Figure 13: Pinfin inline cavity layer</w:t>
            </w:r>
          </w:p>
          <w:p>
            <w:pPr>
              <w:pStyle w:val="Normal"/>
              <w:widowControl w:val="false"/>
              <w:spacing w:before="0" w:after="0"/>
              <w:jc w:val="center"/>
              <w:rPr>
                <w:sz w:val="20"/>
              </w:rPr>
            </w:pPr>
            <w:r>
              <w:rPr>
                <w:sz w:val="20"/>
              </w:rPr>
            </w:r>
          </w:p>
        </w:tc>
      </w:tr>
    </w:tbl>
    <w:p>
      <w:pPr>
        <w:pStyle w:val="Normal"/>
        <w:jc w:val="both"/>
        <w:rPr/>
      </w:pPr>
      <w:r>
        <w:rPr/>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4605"/>
        <w:gridCol w:w="5044"/>
      </w:tblGrid>
      <w:tr>
        <w:trPr/>
        <w:tc>
          <w:tcPr>
            <w:tcW w:w="4605"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 (Pinfins staggered)</w:t>
            </w:r>
          </w:p>
        </w:tc>
        <w:tc>
          <w:tcPr>
            <w:tcW w:w="5044"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c>
          <w:tcPr>
            <w:tcW w:w="4605" w:type="dxa"/>
            <w:tcBorders>
              <w:top w:val="nil"/>
              <w:right w:val="nil"/>
            </w:tcBorders>
            <w:shd w:fill="auto" w:val="clear"/>
            <w:vAlign w:val="center"/>
          </w:tcPr>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pinfin: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diameter   50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pitch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distribution staggered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pin 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darcy velocity 1.1066e+06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w:t>
              <w:br/>
              <w:t xml:space="preserve">                   4.172638e-12; coolant incoming temperature</w:t>
              <w:br/>
              <w:t>300.0 ;</w:t>
            </w:r>
          </w:p>
        </w:tc>
        <w:tc>
          <w:tcPr>
            <w:tcW w:w="5044" w:type="dxa"/>
            <w:tcBorders>
              <w:top w:val="nil"/>
              <w:left w:val="nil"/>
            </w:tcBorders>
            <w:shd w:fill="auto" w:val="clear"/>
            <w:tcMar>
              <w:left w:w="113" w:type="dxa"/>
            </w:tcMar>
            <w:vAlign w:val="center"/>
          </w:tcPr>
          <w:p>
            <w:pPr>
              <w:pStyle w:val="Normal"/>
              <w:keepNext w:val="true"/>
              <w:widowControl w:val="false"/>
              <w:spacing w:before="0" w:after="0"/>
              <w:jc w:val="center"/>
              <w:rPr>
                <w:sz w:val="20"/>
              </w:rPr>
            </w:pPr>
            <w:r>
              <w:rPr>
                <w:sz w:val="20"/>
              </w:rPr>
              <w:drawing>
                <wp:inline distT="0" distB="0" distL="0" distR="0">
                  <wp:extent cx="2707005" cy="743585"/>
                  <wp:effectExtent l="0" t="0" r="0" b="0"/>
                  <wp:docPr id="20" name="Picture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7" descr=""/>
                          <pic:cNvPicPr>
                            <a:picLocks noChangeAspect="1" noChangeArrowheads="1"/>
                          </pic:cNvPicPr>
                        </pic:nvPicPr>
                        <pic:blipFill>
                          <a:blip r:embed="rId23"/>
                          <a:stretch>
                            <a:fillRect/>
                          </a:stretch>
                        </pic:blipFill>
                        <pic:spPr bwMode="auto">
                          <a:xfrm>
                            <a:off x="0" y="0"/>
                            <a:ext cx="2707005" cy="743585"/>
                          </a:xfrm>
                          <a:prstGeom prst="rect">
                            <a:avLst/>
                          </a:prstGeom>
                        </pic:spPr>
                      </pic:pic>
                    </a:graphicData>
                  </a:graphic>
                </wp:inline>
              </w:drawing>
            </w:r>
          </w:p>
          <w:p>
            <w:pPr>
              <w:pStyle w:val="Caption1"/>
              <w:widowControl w:val="false"/>
              <w:spacing w:before="0" w:after="0"/>
              <w:jc w:val="center"/>
              <w:rPr/>
            </w:pPr>
            <w:r>
              <w:rPr/>
              <w:t>Figure 14: Channel layer</w:t>
            </w:r>
          </w:p>
          <w:p>
            <w:pPr>
              <w:pStyle w:val="Normal"/>
              <w:widowControl w:val="false"/>
              <w:spacing w:before="0" w:after="0"/>
              <w:jc w:val="center"/>
              <w:rPr>
                <w:sz w:val="20"/>
              </w:rPr>
            </w:pPr>
            <w:r>
              <w:rPr>
                <w:sz w:val="20"/>
              </w:rPr>
            </w:r>
          </w:p>
        </w:tc>
      </w:tr>
    </w:tbl>
    <w:p>
      <w:pPr>
        <w:pStyle w:val="Normal"/>
        <w:jc w:val="both"/>
        <w:rPr/>
      </w:pPr>
      <w:r>
        <w:rPr/>
      </w:r>
    </w:p>
    <w:p>
      <w:pPr>
        <w:pStyle w:val="Normal"/>
        <w:jc w:val="both"/>
        <w:rPr/>
      </w:pPr>
      <w:r>
        <w:rPr>
          <w:b/>
        </w:rPr>
        <w:t xml:space="preserve">Note: </w:t>
      </w:r>
      <w:r>
        <w:rPr/>
        <w:t>If neither the conventional nor the liquid-cooled heat sink is declared in the Stack Description File, then the parsing will end with a warning message. Note that this would cause the temperatures to blow up unbounded with time in the presence of non-zero heat sources.</w:t>
      </w:r>
    </w:p>
    <w:p>
      <w:pPr>
        <w:pStyle w:val="Heading3"/>
        <w:numPr>
          <w:ilvl w:val="0"/>
          <w:numId w:val="22"/>
        </w:numPr>
        <w:ind w:left="426" w:hanging="142"/>
        <w:rPr/>
      </w:pPr>
      <w:bookmarkStart w:id="92" w:name="__RefHeading___Toc2981_2393532176"/>
      <w:bookmarkStart w:id="93" w:name="_Toc442446451"/>
      <w:bookmarkEnd w:id="92"/>
      <w:bookmarkEnd w:id="93"/>
      <w:r>
        <w:rPr/>
        <w:t>Dimensions</w:t>
      </w:r>
    </w:p>
    <w:p>
      <w:pPr>
        <w:pStyle w:val="Normal"/>
        <w:jc w:val="both"/>
        <w:rPr/>
      </w:pPr>
      <w:r>
        <w:rPr/>
        <w:t xml:space="preserve">This section of the Stack Description File declares the </w:t>
      </w:r>
      <w:r>
        <w:rPr>
          <w:i/>
        </w:rPr>
        <w:t>x-y</w:t>
      </w:r>
      <w:r>
        <w:rPr/>
        <w:t xml:space="preserve"> dimensions of the entire chip and the discretization sizes for the thermal cells (all in </w:t>
      </w:r>
      <w:r>
        <w:rPr>
          <w:rFonts w:cs="Calibri" w:cstheme="minorHAnsi"/>
        </w:rPr>
        <w:t>µ</w:t>
      </w:r>
      <w:r>
        <w:rPr/>
        <w:t>m).</w:t>
      </w:r>
    </w:p>
    <w:p>
      <w:pPr>
        <w:pStyle w:val="Normal"/>
        <w:ind w:left="720" w:hanging="0"/>
        <w:jc w:val="both"/>
        <w:rPr>
          <w:rFonts w:ascii="Courier New" w:hAnsi="Courier New" w:cs="Courier New"/>
          <w:sz w:val="18"/>
        </w:rPr>
      </w:pPr>
      <w:r>
        <w:rPr>
          <w:rFonts w:cs="Courier New" w:ascii="Courier New" w:hAnsi="Courier New"/>
          <w:sz w:val="18"/>
        </w:rPr>
        <w:t>dimension :</w:t>
      </w:r>
    </w:p>
    <w:p>
      <w:pPr>
        <w:pStyle w:val="Normal"/>
        <w:ind w:left="1440" w:hanging="0"/>
        <w:jc w:val="both"/>
        <w:rPr>
          <w:rFonts w:ascii="Courier New" w:hAnsi="Courier New" w:cs="Courier New"/>
          <w:sz w:val="18"/>
        </w:rPr>
      </w:pPr>
      <w:r>
        <w:rPr>
          <w:rFonts w:cs="Courier New" w:ascii="Courier New" w:hAnsi="Courier New"/>
          <w:sz w:val="18"/>
        </w:rPr>
        <w:t>chip length DVALUE , width DVALUE ;</w:t>
      </w:r>
    </w:p>
    <w:p>
      <w:pPr>
        <w:pStyle w:val="Normal"/>
        <w:ind w:left="1440" w:hanging="0"/>
        <w:jc w:val="both"/>
        <w:rPr>
          <w:rFonts w:ascii="Courier New" w:hAnsi="Courier New" w:cs="Courier New"/>
          <w:sz w:val="18"/>
        </w:rPr>
      </w:pPr>
      <w:r>
        <w:rPr>
          <w:rFonts w:cs="Courier New" w:ascii="Courier New" w:hAnsi="Courier New"/>
          <w:sz w:val="18"/>
        </w:rPr>
        <w:t>cell length DVALUE , width DVALUE ;</w:t>
      </w:r>
    </w:p>
    <w:p>
      <w:pPr>
        <w:pStyle w:val="Normal"/>
        <w:ind w:left="1440" w:hanging="0"/>
        <w:jc w:val="both"/>
        <w:rPr>
          <w:rFonts w:ascii="Courier New" w:hAnsi="Courier New" w:cs="Courier New"/>
          <w:sz w:val="18"/>
        </w:rPr>
      </w:pPr>
      <w:r>
        <w:rPr>
          <w:rFonts w:cs="Courier New" w:ascii="Courier New" w:hAnsi="Courier New"/>
          <w:sz w:val="18"/>
        </w:rPr>
        <w:t>[non-uniform  DVALUE ; ]?</w:t>
      </w:r>
    </w:p>
    <w:p>
      <w:pPr>
        <w:pStyle w:val="Normal"/>
        <w:jc w:val="both"/>
        <w:rPr>
          <w:b/>
          <w:b/>
          <w:bCs/>
          <w:i/>
          <w:i/>
          <w:iCs/>
          <w:color w:val="C9211E"/>
        </w:rPr>
      </w:pPr>
      <w:r>
        <w:rPr>
          <w:b/>
          <w:bCs/>
          <w:i/>
          <w:iCs/>
          <w:color w:val="C9211E"/>
        </w:rPr>
        <w:t>Uniform mode</w:t>
      </w:r>
    </w:p>
    <w:p>
      <w:pPr>
        <w:pStyle w:val="Normal"/>
        <w:jc w:val="both"/>
        <w:rPr/>
      </w:pPr>
      <w:r>
        <w:rPr/>
        <w:t>By default or when non-uniform mode is disabled (</w:t>
      </w:r>
      <w:r>
        <w:rPr>
          <w:rFonts w:cs="Courier New" w:ascii="Courier New" w:hAnsi="Courier New"/>
          <w:sz w:val="18"/>
        </w:rPr>
        <w:t>non-uniform 0;</w:t>
      </w:r>
      <w:r>
        <w:rPr/>
        <w:t xml:space="preserve">), 3D-ICE will discretize the chip’s uniformily. In this case, the entire chip is discretized based on the same cell length (along </w:t>
      </w:r>
      <w:r>
        <w:rPr>
          <w:i/>
        </w:rPr>
        <w:t>x</w:t>
      </w:r>
      <w:r>
        <w:rPr/>
        <w:t xml:space="preserve"> direction) and width (along </w:t>
      </w:r>
      <w:r>
        <w:rPr>
          <w:i/>
        </w:rPr>
        <w:t>y</w:t>
      </w:r>
      <w:r>
        <w:rPr/>
        <w:t xml:space="preserve"> direction) values. The discretization along the </w:t>
      </w:r>
      <w:r>
        <w:rPr>
          <w:i/>
        </w:rPr>
        <w:t>z</w:t>
      </w:r>
      <w:r>
        <w:rPr/>
        <w:t xml:space="preserve"> direction is not specified, since the height of a thermal cell is taken to be the same as the height of the layer in which it exists as shown for a layer in Fig. 16. However, if you want a finer discretization than that along the </w:t>
      </w:r>
      <w:r>
        <w:rPr>
          <w:i/>
        </w:rPr>
        <w:t>z</w:t>
      </w:r>
      <w:r>
        <w:rPr/>
        <w:t xml:space="preserve"> direction, then you will have to split the layer into multiple layers of the same material stacked on the top of each other in the declaration of die/stack, as shown in Fig. 17 (here </w:t>
      </w:r>
      <w:r>
        <w:rPr>
          <w:i/>
        </w:rPr>
        <w:t>h</w:t>
      </w:r>
      <w:r>
        <w:rPr>
          <w:i/>
          <w:vertAlign w:val="subscript"/>
        </w:rPr>
        <w:t>1</w:t>
      </w:r>
      <w:r>
        <w:rPr/>
        <w:t>+</w:t>
      </w:r>
      <w:r>
        <w:rPr>
          <w:i/>
        </w:rPr>
        <w:t>h</w:t>
      </w:r>
      <w:r>
        <w:rPr>
          <w:i/>
          <w:vertAlign w:val="subscript"/>
        </w:rPr>
        <w:t>2</w:t>
      </w:r>
      <w:r>
        <w:rPr/>
        <w:t>=</w:t>
      </w:r>
      <w:r>
        <w:rPr>
          <w:i/>
        </w:rPr>
        <w:t>h</w:t>
      </w:r>
      <w:r>
        <w:rPr/>
        <w:t>).</w:t>
      </w:r>
    </w:p>
    <w:p>
      <w:pPr>
        <w:pStyle w:val="Normal"/>
        <w:keepNext w:val="true"/>
        <w:jc w:val="center"/>
        <w:rPr/>
      </w:pPr>
      <w:r>
        <w:rPr/>
        <w:drawing>
          <wp:inline distT="0" distB="0" distL="0" distR="0">
            <wp:extent cx="3714115" cy="880110"/>
            <wp:effectExtent l="0" t="0" r="0" b="0"/>
            <wp:docPr id="21" name="Picture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5" descr=""/>
                    <pic:cNvPicPr>
                      <a:picLocks noChangeAspect="1" noChangeArrowheads="1"/>
                    </pic:cNvPicPr>
                  </pic:nvPicPr>
                  <pic:blipFill>
                    <a:blip r:embed="rId24"/>
                    <a:stretch>
                      <a:fillRect/>
                    </a:stretch>
                  </pic:blipFill>
                  <pic:spPr bwMode="auto">
                    <a:xfrm>
                      <a:off x="0" y="0"/>
                      <a:ext cx="3714115" cy="880110"/>
                    </a:xfrm>
                    <a:prstGeom prst="rect">
                      <a:avLst/>
                    </a:prstGeom>
                  </pic:spPr>
                </pic:pic>
              </a:graphicData>
            </a:graphic>
          </wp:inline>
        </w:drawing>
      </w:r>
    </w:p>
    <w:p>
      <w:pPr>
        <w:pStyle w:val="Caption1"/>
        <w:jc w:val="center"/>
        <w:rPr/>
      </w:pPr>
      <w:r>
        <w:rPr/>
        <w:t>Figure 1</w:t>
      </w:r>
      <w:r>
        <w:rPr>
          <w:rFonts w:eastAsia="Calibri" w:cs=""/>
          <w:b/>
          <w:bCs/>
          <w:color w:val="000000" w:themeColor="text1"/>
          <w:kern w:val="0"/>
          <w:sz w:val="18"/>
          <w:szCs w:val="18"/>
          <w:lang w:val="en-US" w:eastAsia="en-US" w:bidi="ar-SA"/>
        </w:rPr>
        <w:t>5</w:t>
      </w:r>
      <w:r>
        <w:rPr/>
        <w:t>: Discretization of a single layer</w:t>
      </w:r>
    </w:p>
    <w:p>
      <w:pPr>
        <w:pStyle w:val="Normal"/>
        <w:keepNext w:val="true"/>
        <w:jc w:val="center"/>
        <w:rPr/>
      </w:pPr>
      <w:r>
        <w:rPr/>
        <w:drawing>
          <wp:inline distT="0" distB="0" distL="0" distR="0">
            <wp:extent cx="3787140" cy="1000760"/>
            <wp:effectExtent l="0" t="0" r="0" b="0"/>
            <wp:docPr id="22"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6" descr=""/>
                    <pic:cNvPicPr>
                      <a:picLocks noChangeAspect="1" noChangeArrowheads="1"/>
                    </pic:cNvPicPr>
                  </pic:nvPicPr>
                  <pic:blipFill>
                    <a:blip r:embed="rId25"/>
                    <a:stretch>
                      <a:fillRect/>
                    </a:stretch>
                  </pic:blipFill>
                  <pic:spPr bwMode="auto">
                    <a:xfrm>
                      <a:off x="0" y="0"/>
                      <a:ext cx="3787140" cy="1000760"/>
                    </a:xfrm>
                    <a:prstGeom prst="rect">
                      <a:avLst/>
                    </a:prstGeom>
                  </pic:spPr>
                </pic:pic>
              </a:graphicData>
            </a:graphic>
          </wp:inline>
        </w:drawing>
      </w:r>
    </w:p>
    <w:p>
      <w:pPr>
        <w:pStyle w:val="Caption1"/>
        <w:jc w:val="center"/>
        <w:rPr/>
      </w:pPr>
      <w:r>
        <w:rPr/>
        <w:t>Figure 1</w:t>
      </w:r>
      <w:r>
        <w:rPr>
          <w:rFonts w:eastAsia="Calibri" w:cs=""/>
          <w:b/>
          <w:bCs/>
          <w:color w:val="000000" w:themeColor="text1"/>
          <w:kern w:val="0"/>
          <w:sz w:val="18"/>
          <w:szCs w:val="18"/>
          <w:lang w:val="en-US" w:eastAsia="en-US" w:bidi="ar-SA"/>
        </w:rPr>
        <w:t>6</w:t>
      </w:r>
      <w:r>
        <w:rPr/>
        <w:t>: Discretization of a single layer split into 2 layers</w:t>
      </w:r>
    </w:p>
    <w:tbl>
      <w:tblPr>
        <w:tblStyle w:val="Tabellenraster"/>
        <w:tblW w:w="957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7037"/>
        <w:gridCol w:w="2538"/>
      </w:tblGrid>
      <w:tr>
        <w:trPr/>
        <w:tc>
          <w:tcPr>
            <w:tcW w:w="7037" w:type="dxa"/>
            <w:tcBorders>
              <w:bottom w:val="nil"/>
              <w:right w:val="nil"/>
            </w:tcBorders>
            <w:shd w:fill="auto" w:val="clear"/>
          </w:tcPr>
          <w:p>
            <w:pPr>
              <w:pStyle w:val="Normal"/>
              <w:widowControl w:val="false"/>
              <w:spacing w:lineRule="auto" w:line="240" w:before="0" w:after="0"/>
              <w:jc w:val="both"/>
              <w:rPr>
                <w:b/>
                <w:b/>
              </w:rPr>
            </w:pPr>
            <w:r>
              <w:rPr>
                <w:b/>
                <w:sz w:val="20"/>
              </w:rPr>
              <w:t>Example</w:t>
            </w:r>
          </w:p>
        </w:tc>
        <w:tc>
          <w:tcPr>
            <w:tcW w:w="2538" w:type="dxa"/>
            <w:tcBorders>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right w:val="nil"/>
            </w:tcBorders>
            <w:shd w:fill="auto" w:val="clear"/>
          </w:tcPr>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dimension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chip length 10000, width 10000;</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cell length 50, width 50;</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20"/>
              </w:rPr>
            </w:r>
          </w:p>
        </w:tc>
        <w:tc>
          <w:tcPr>
            <w:tcW w:w="2538" w:type="dxa"/>
            <w:tcBorders>
              <w:top w:val="nil"/>
              <w:left w:val="nil"/>
            </w:tcBorders>
            <w:shd w:fill="auto" w:val="clear"/>
            <w:tcMar>
              <w:left w:w="113" w:type="dxa"/>
            </w:tcMar>
          </w:tcPr>
          <w:p>
            <w:pPr>
              <w:pStyle w:val="Normal"/>
              <w:widowControl w:val="false"/>
              <w:spacing w:lineRule="auto" w:line="240" w:before="0" w:after="0"/>
              <w:jc w:val="both"/>
              <w:rPr>
                <w:sz w:val="20"/>
              </w:rPr>
            </w:pPr>
            <w:r>
              <w:rPr>
                <w:sz w:val="20"/>
              </w:rPr>
            </w:r>
          </w:p>
        </w:tc>
      </w:tr>
    </w:tbl>
    <w:p>
      <w:pPr>
        <w:pStyle w:val="Normal"/>
        <w:keepNext w:val="true"/>
        <w:jc w:val="center"/>
        <w:rPr/>
      </w:pPr>
      <w:r>
        <w:rPr/>
      </w:r>
    </w:p>
    <w:p>
      <w:pPr>
        <w:pStyle w:val="Normal"/>
        <w:jc w:val="both"/>
        <w:rPr/>
      </w:pPr>
      <w:r>
        <w:rPr/>
        <w:t xml:space="preserve">If the microchannel 4-resistor model is used, the cell length is determined </w:t>
      </w:r>
      <w:r>
        <w:rPr>
          <w:u w:val="single"/>
        </w:rPr>
        <w:t>solely</w:t>
      </w:r>
      <w:r>
        <w:rPr/>
        <w:t xml:space="preserve"> based on the cross sectional dimensions of channel and wall in the Channel section of the Stack Description File. This is because the 4RM-CTTM modeling used in 3D-ICE requires that the entire cross section of the microchannel be a part of the thermal cell. This means that the cell length at some position along the </w:t>
      </w:r>
      <w:r>
        <w:rPr>
          <w:i/>
        </w:rPr>
        <w:t>x</w:t>
      </w:r>
      <w:r>
        <w:rPr/>
        <w:t xml:space="preserve"> direction in the model is dependent upon the channel or the wall cross sectional width at that point. Note that given different values of </w:t>
      </w:r>
      <w:r>
        <w:rPr>
          <w:rFonts w:cs="Courier New" w:ascii="Courier New" w:hAnsi="Courier New"/>
          <w:sz w:val="18"/>
        </w:rPr>
        <w:t>channel length</w:t>
      </w:r>
      <w:r>
        <w:rPr/>
        <w:t xml:space="preserve">, </w:t>
      </w:r>
      <w:r>
        <w:rPr>
          <w:rFonts w:cs="Courier New" w:ascii="Courier New" w:hAnsi="Courier New"/>
          <w:sz w:val="18"/>
        </w:rPr>
        <w:t>wall length</w:t>
      </w:r>
      <w:r>
        <w:rPr/>
        <w:t xml:space="preserve">, </w:t>
      </w:r>
      <w:r>
        <w:rPr>
          <w:rFonts w:cs="Courier New" w:ascii="Courier New" w:hAnsi="Courier New"/>
          <w:sz w:val="18"/>
        </w:rPr>
        <w:t>first wall length</w:t>
      </w:r>
      <w:r>
        <w:rPr/>
        <w:t xml:space="preserve"> and </w:t>
      </w:r>
      <w:r>
        <w:rPr>
          <w:rFonts w:cs="Courier New" w:ascii="Courier New" w:hAnsi="Courier New"/>
          <w:sz w:val="18"/>
        </w:rPr>
        <w:t>last wall length</w:t>
      </w:r>
      <w:r>
        <w:rPr/>
        <w:t xml:space="preserve">, the discretization along this direction will be non-uniform in the simulator. For all other liquid-cooled cavity types, the cell length and cell width are necessary and sufficient to create a uniform discretization of the entire structure. </w:t>
      </w:r>
    </w:p>
    <w:p>
      <w:pPr>
        <w:pStyle w:val="Normal"/>
        <w:jc w:val="both"/>
        <w:rPr/>
      </w:pPr>
      <w:r>
        <w:rPr/>
        <w:t xml:space="preserve">For the purpose of illustration, the discretized domain corresponding to the stacked structure built in Fig. 15 is shown in Fig. 18.  Note that the </w:t>
      </w:r>
      <w:r>
        <w:rPr>
          <w:rFonts w:cs="Courier New" w:ascii="Courier New" w:hAnsi="Courier New"/>
          <w:sz w:val="18"/>
        </w:rPr>
        <w:t xml:space="preserve">cell length </w:t>
      </w:r>
      <w:r>
        <w:rPr>
          <w:u w:val="single"/>
        </w:rPr>
        <w:t>must still be declared</w:t>
      </w:r>
      <w:r>
        <w:rPr/>
        <w:t xml:space="preserve"> in all cases, in spite of the fact that it will be ignored during the parsing when microchannel 4-resistor model cavity is used.</w:t>
      </w:r>
    </w:p>
    <w:p>
      <w:pPr>
        <w:pStyle w:val="Normal"/>
        <w:keepNext w:val="true"/>
        <w:jc w:val="center"/>
        <w:rPr/>
      </w:pPr>
      <w:r>
        <w:rPr/>
        <w:drawing>
          <wp:inline distT="0" distB="0" distL="0" distR="0">
            <wp:extent cx="2508885" cy="2973705"/>
            <wp:effectExtent l="0" t="0" r="0" b="0"/>
            <wp:docPr id="23" name="Picture 14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443" descr=""/>
                    <pic:cNvPicPr>
                      <a:picLocks noChangeAspect="1" noChangeArrowheads="1"/>
                    </pic:cNvPicPr>
                  </pic:nvPicPr>
                  <pic:blipFill>
                    <a:blip r:embed="rId26"/>
                    <a:stretch>
                      <a:fillRect/>
                    </a:stretch>
                  </pic:blipFill>
                  <pic:spPr bwMode="auto">
                    <a:xfrm>
                      <a:off x="0" y="0"/>
                      <a:ext cx="2508885" cy="2973705"/>
                    </a:xfrm>
                    <a:prstGeom prst="rect">
                      <a:avLst/>
                    </a:prstGeom>
                  </pic:spPr>
                </pic:pic>
              </a:graphicData>
            </a:graphic>
          </wp:inline>
        </w:drawing>
      </w:r>
    </w:p>
    <w:p>
      <w:pPr>
        <w:pStyle w:val="Caption1"/>
        <w:jc w:val="center"/>
        <w:rPr/>
      </w:pPr>
      <w:r>
        <w:rPr/>
        <w:t>Figure 1</w:t>
      </w:r>
      <w:r>
        <w:rPr>
          <w:rFonts w:eastAsia="Calibri" w:cs=""/>
          <w:b/>
          <w:bCs/>
          <w:color w:val="000000" w:themeColor="text1"/>
          <w:kern w:val="0"/>
          <w:sz w:val="18"/>
          <w:szCs w:val="18"/>
          <w:lang w:val="en-US" w:eastAsia="en-US" w:bidi="ar-SA"/>
        </w:rPr>
        <w:t>7</w:t>
      </w:r>
      <w:r>
        <w:rPr/>
        <w:t>: Discretized computational domain for the stack shown in Fig. 15</w:t>
      </w:r>
    </w:p>
    <w:p>
      <w:pPr>
        <w:pStyle w:val="Caption1"/>
        <w:bidi w:val="0"/>
        <w:ind w:left="0" w:right="0" w:hanging="0"/>
        <w:jc w:val="left"/>
        <w:rPr>
          <w:color w:val="C9211E"/>
        </w:rPr>
      </w:pPr>
      <w:r>
        <w:rPr>
          <w:i/>
          <w:iCs/>
          <w:color w:val="C9211E"/>
          <w:sz w:val="22"/>
          <w:szCs w:val="22"/>
        </w:rPr>
        <w:t>Non-uniform mode</w:t>
      </w:r>
    </w:p>
    <w:p>
      <w:pPr>
        <w:pStyle w:val="Normal"/>
        <w:bidi w:val="0"/>
        <w:spacing w:lineRule="auto" w:line="276"/>
        <w:ind w:left="0" w:right="0" w:hanging="0"/>
        <w:jc w:val="both"/>
        <w:rPr/>
      </w:pPr>
      <w:r>
        <w:rPr/>
        <w:t>When non-uniform mode is enabled (</w:t>
      </w:r>
      <w:r>
        <w:rPr>
          <w:rFonts w:cs="Courier New" w:ascii="Courier New" w:hAnsi="Courier New"/>
          <w:sz w:val="18"/>
        </w:rPr>
        <w:t>non-uniform 1;</w:t>
      </w:r>
      <w:r>
        <w:rPr/>
        <w:t xml:space="preserve">), 3D-ICE will discretize the chip based on the cell length (along </w:t>
      </w:r>
      <w:r>
        <w:rPr>
          <w:i/>
        </w:rPr>
        <w:t>x</w:t>
      </w:r>
      <w:r>
        <w:rPr/>
        <w:t xml:space="preserve"> direction) and width (along </w:t>
      </w:r>
      <w:r>
        <w:rPr>
          <w:i/>
        </w:rPr>
        <w:t>y</w:t>
      </w:r>
      <w:r>
        <w:rPr/>
        <w:t xml:space="preserve"> direction) values. For instance, 200x200 in the following example. The default discretization granularity can be overwritten later in the stack and floorplan's definition.</w:t>
      </w:r>
    </w:p>
    <w:tbl>
      <w:tblPr>
        <w:tblW w:w="9576" w:type="dxa"/>
        <w:jc w:val="left"/>
        <w:tblInd w:w="-113" w:type="dxa"/>
        <w:tblLayout w:type="fixed"/>
        <w:tblCellMar>
          <w:top w:w="0" w:type="dxa"/>
          <w:left w:w="93" w:type="dxa"/>
          <w:bottom w:w="0" w:type="dxa"/>
          <w:right w:w="108" w:type="dxa"/>
        </w:tblCellMar>
      </w:tblPr>
      <w:tblGrid>
        <w:gridCol w:w="7036"/>
        <w:gridCol w:w="2539"/>
      </w:tblGrid>
      <w:tr>
        <w:trPr/>
        <w:tc>
          <w:tcPr>
            <w:tcW w:w="7036" w:type="dxa"/>
            <w:tcBorders>
              <w:top w:val="single" w:sz="4" w:space="0" w:color="000000"/>
              <w:left w:val="single" w:sz="4" w:space="0" w:color="000000"/>
            </w:tcBorders>
            <w:shd w:fill="auto" w:val="clear"/>
          </w:tcPr>
          <w:p>
            <w:pPr>
              <w:pStyle w:val="Normal"/>
              <w:widowControl w:val="false"/>
              <w:tabs>
                <w:tab w:val="clear" w:pos="720"/>
              </w:tabs>
              <w:bidi w:val="0"/>
              <w:spacing w:before="0" w:after="0"/>
              <w:ind w:left="0" w:right="0" w:hanging="0"/>
              <w:jc w:val="both"/>
              <w:rPr/>
            </w:pPr>
            <w:r>
              <w:rPr>
                <w:b/>
              </w:rPr>
              <w:t>Example</w:t>
            </w:r>
          </w:p>
        </w:tc>
        <w:tc>
          <w:tcPr>
            <w:tcW w:w="2539" w:type="dxa"/>
            <w:tcBorders>
              <w:top w:val="single" w:sz="4" w:space="0" w:color="000000"/>
              <w:right w:val="single" w:sz="4" w:space="0" w:color="000000"/>
            </w:tcBorders>
            <w:shd w:fill="auto" w:val="clear"/>
            <w:tcMar>
              <w:left w:w="113" w:type="dxa"/>
            </w:tcMar>
          </w:tcPr>
          <w:p>
            <w:pPr>
              <w:pStyle w:val="Normal"/>
              <w:widowControl w:val="false"/>
              <w:tabs>
                <w:tab w:val="clear" w:pos="720"/>
              </w:tabs>
              <w:bidi w:val="0"/>
              <w:spacing w:before="0" w:after="0"/>
              <w:ind w:left="0" w:right="0" w:hanging="0"/>
              <w:jc w:val="both"/>
              <w:rPr/>
            </w:pPr>
            <w:r>
              <w:rPr/>
            </w:r>
          </w:p>
        </w:tc>
      </w:tr>
      <w:tr>
        <w:trPr/>
        <w:tc>
          <w:tcPr>
            <w:tcW w:w="7036" w:type="dxa"/>
            <w:tcBorders>
              <w:left w:val="single" w:sz="4" w:space="0" w:color="000000"/>
              <w:bottom w:val="single" w:sz="4" w:space="0" w:color="000000"/>
            </w:tcBorders>
            <w:shd w:fill="auto" w:val="clear"/>
          </w:tcPr>
          <w:p>
            <w:pPr>
              <w:pStyle w:val="Normal"/>
              <w:widowControl w:val="false"/>
              <w:tabs>
                <w:tab w:val="clear" w:pos="720"/>
              </w:tabs>
              <w:bidi w:val="0"/>
              <w:spacing w:before="0" w:after="0"/>
              <w:ind w:left="720" w:right="0" w:hanging="0"/>
              <w:jc w:val="both"/>
              <w:rPr/>
            </w:pPr>
            <w:r>
              <w:rPr>
                <w:rFonts w:cs="Courier New" w:ascii="Courier New" w:hAnsi="Courier New"/>
                <w:sz w:val="18"/>
              </w:rPr>
              <w:t>dimension :</w:t>
            </w:r>
          </w:p>
          <w:p>
            <w:pPr>
              <w:pStyle w:val="Normal"/>
              <w:widowControl w:val="false"/>
              <w:tabs>
                <w:tab w:val="clear" w:pos="720"/>
              </w:tabs>
              <w:bidi w:val="0"/>
              <w:spacing w:before="0" w:after="0"/>
              <w:ind w:left="1440" w:right="0" w:hanging="0"/>
              <w:jc w:val="both"/>
              <w:rPr/>
            </w:pPr>
            <w:r>
              <w:rPr>
                <w:rFonts w:cs="Courier New" w:ascii="Courier New" w:hAnsi="Courier New"/>
                <w:sz w:val="18"/>
              </w:rPr>
              <w:t>chip length 10000, width 10000;</w:t>
            </w:r>
          </w:p>
          <w:p>
            <w:pPr>
              <w:pStyle w:val="Normal"/>
              <w:widowControl w:val="false"/>
              <w:tabs>
                <w:tab w:val="clear" w:pos="720"/>
              </w:tabs>
              <w:bidi w:val="0"/>
              <w:spacing w:before="0" w:after="0"/>
              <w:ind w:left="1440" w:right="0" w:hanging="0"/>
              <w:jc w:val="both"/>
              <w:rPr/>
            </w:pPr>
            <w:r>
              <w:rPr>
                <w:rFonts w:cs="Courier New" w:ascii="Courier New" w:hAnsi="Courier New"/>
                <w:sz w:val="18"/>
              </w:rPr>
              <w:t>cell length 50, width 50;</w:t>
            </w:r>
          </w:p>
          <w:p>
            <w:pPr>
              <w:pStyle w:val="Normal"/>
              <w:widowControl w:val="false"/>
              <w:tabs>
                <w:tab w:val="clear" w:pos="720"/>
              </w:tabs>
              <w:bidi w:val="0"/>
              <w:spacing w:before="0" w:after="0"/>
              <w:ind w:left="1440" w:right="0" w:hanging="0"/>
              <w:jc w:val="both"/>
              <w:rPr/>
            </w:pPr>
            <w:r>
              <w:rPr>
                <w:rFonts w:cs="Courier New" w:ascii="Courier New" w:hAnsi="Courier New"/>
                <w:sz w:val="18"/>
              </w:rPr>
              <w:t>non-uniform 1;</w:t>
            </w:r>
          </w:p>
        </w:tc>
        <w:tc>
          <w:tcPr>
            <w:tcW w:w="2539" w:type="dxa"/>
            <w:tcBorders>
              <w:bottom w:val="single" w:sz="4" w:space="0" w:color="000000"/>
              <w:right w:val="single" w:sz="4" w:space="0" w:color="000000"/>
            </w:tcBorders>
            <w:shd w:fill="auto" w:val="clear"/>
            <w:tcMar>
              <w:left w:w="113" w:type="dxa"/>
            </w:tcMar>
          </w:tcPr>
          <w:p>
            <w:pPr>
              <w:pStyle w:val="Normal"/>
              <w:widowControl w:val="false"/>
              <w:tabs>
                <w:tab w:val="clear" w:pos="720"/>
              </w:tabs>
              <w:bidi w:val="0"/>
              <w:spacing w:before="0" w:after="0"/>
              <w:ind w:left="0" w:right="0" w:hanging="0"/>
              <w:jc w:val="both"/>
              <w:rPr/>
            </w:pPr>
            <w:r>
              <w:rPr/>
            </w:r>
          </w:p>
        </w:tc>
      </w:tr>
    </w:tbl>
    <w:p>
      <w:pPr>
        <w:pStyle w:val="Normal"/>
        <w:bidi w:val="0"/>
        <w:spacing w:lineRule="auto" w:line="276" w:before="0" w:after="0"/>
        <w:ind w:left="0" w:right="0" w:hanging="0"/>
        <w:jc w:val="left"/>
        <w:rPr/>
      </w:pPr>
      <w:r>
        <w:rPr/>
      </w:r>
    </w:p>
    <w:p>
      <w:pPr>
        <w:pStyle w:val="Normal"/>
        <w:bidi w:val="0"/>
        <w:spacing w:lineRule="auto" w:line="276" w:before="0" w:after="0"/>
        <w:ind w:left="0" w:right="0" w:hanging="0"/>
        <w:jc w:val="left"/>
        <w:rPr/>
      </w:pPr>
      <w:r>
        <w:rPr/>
        <w:t>Contrary to the uniform mode, the discretization level of each layer strictly follows its own discretization setting and will not be overwritten  by the microchannel’s channel length setting. Note that due to the complexity of liquid cooling, the microchannel layer still follows the same discretization method as the uniform mode.</w:t>
      </w:r>
    </w:p>
    <w:p>
      <w:pPr>
        <w:pStyle w:val="Normal"/>
        <w:rPr/>
      </w:pPr>
      <w:r>
        <w:rPr/>
      </w:r>
    </w:p>
    <w:p>
      <w:pPr>
        <w:pStyle w:val="Heading4"/>
        <w:rPr/>
      </w:pPr>
      <w:r>
        <w:rPr/>
        <w:t>Problem Complexity</w:t>
      </w:r>
    </w:p>
    <w:p>
      <w:pPr>
        <w:pStyle w:val="Normal"/>
        <w:jc w:val="both"/>
        <w:rPr/>
      </w:pPr>
      <w:r>
        <w:rPr/>
        <w:t xml:space="preserve">Remember that the dimensions of the chip, together with the dimensions of the thermal cells will directly affect the performance of the simulation. Indeed, the number of cells (nodes) influences both the amount of memory used by the library and the time needed to solve the linear system[1]. The main computational effort of the simulator is incurred during the execution of SuperLU and </w:t>
      </w:r>
      <w:r>
        <w:rPr>
          <w:rFonts w:cs="Courier New" w:ascii="Courier New" w:hAnsi="Courier New"/>
          <w:sz w:val="18"/>
          <w:szCs w:val="18"/>
        </w:rPr>
        <w:t>blas</w:t>
      </w:r>
      <w:r>
        <w:rPr/>
        <w:t xml:space="preserve"> libraries. Specifically, the LU factorization of the system matrix is the most time/memory intensive. Hence, for large problem sizes, the availability of memory must be ensured to prevent this step from failing during the simulation.</w:t>
      </w:r>
    </w:p>
    <w:p>
      <w:pPr>
        <w:pStyle w:val="Heading3"/>
        <w:numPr>
          <w:ilvl w:val="0"/>
          <w:numId w:val="22"/>
        </w:numPr>
        <w:ind w:left="426" w:hanging="142"/>
        <w:rPr/>
      </w:pPr>
      <w:bookmarkStart w:id="94" w:name="__RefHeading___Toc3088_2224355866"/>
      <w:bookmarkEnd w:id="94"/>
      <w:r>
        <w:rPr/>
        <w:t>Stack</w:t>
      </w:r>
    </w:p>
    <w:p>
      <w:pPr>
        <w:pStyle w:val="Normal"/>
        <w:jc w:val="both"/>
        <w:rPr/>
      </w:pPr>
      <w:r>
        <w:rPr/>
        <w:t>This section builds the vertical structure of the stack. The stack is composed of Dies (as previously declared) and layers and/or channels.</w:t>
      </w:r>
    </w:p>
    <w:p>
      <w:pPr>
        <w:pStyle w:val="Normal"/>
        <w:ind w:left="720" w:hanging="0"/>
        <w:jc w:val="both"/>
        <w:rPr>
          <w:rFonts w:ascii="Courier New" w:hAnsi="Courier New" w:cs="Courier New"/>
          <w:sz w:val="18"/>
        </w:rPr>
      </w:pPr>
      <w:r>
        <w:rPr>
          <w:rFonts w:cs="Courier New" w:ascii="Courier New" w:hAnsi="Courier New"/>
          <w:sz w:val="18"/>
        </w:rPr>
        <w:t>stack :</w:t>
      </w:r>
    </w:p>
    <w:p>
      <w:pPr>
        <w:pStyle w:val="Normal"/>
        <w:ind w:left="1440" w:hanging="0"/>
        <w:jc w:val="both"/>
        <w:rPr>
          <w:rFonts w:ascii="Courier New" w:hAnsi="Courier New" w:cs="Courier New"/>
          <w:sz w:val="18"/>
        </w:rPr>
      </w:pPr>
      <w:r>
        <w:rPr>
          <w:rFonts w:cs="Courier New" w:ascii="Courier New" w:hAnsi="Courier New"/>
          <w:sz w:val="18"/>
        </w:rPr>
        <w:t>[  layer   LL_IDLAYER_ID [discretization DVALUE DVALUE]? ;     |</w:t>
      </w:r>
    </w:p>
    <w:p>
      <w:pPr>
        <w:pStyle w:val="Normal"/>
        <w:ind w:left="1440" w:hanging="0"/>
        <w:jc w:val="both"/>
        <w:rPr>
          <w:rFonts w:ascii="Courier New" w:hAnsi="Courier New" w:cs="Courier New"/>
          <w:sz w:val="18"/>
        </w:rPr>
      </w:pPr>
      <w:r>
        <w:rPr>
          <w:rFonts w:cs="Courier New" w:ascii="Courier New" w:hAnsi="Courier New"/>
          <w:sz w:val="18"/>
        </w:rPr>
        <w:t>channel CC_ID ;                          |</w:t>
      </w:r>
    </w:p>
    <w:p>
      <w:pPr>
        <w:pStyle w:val="Normal"/>
        <w:ind w:left="1440" w:hanging="0"/>
        <w:jc w:val="both"/>
        <w:rPr>
          <w:rFonts w:ascii="Courier New" w:hAnsi="Courier New" w:cs="Courier New"/>
          <w:sz w:val="18"/>
        </w:rPr>
      </w:pPr>
      <w:r>
        <w:rPr>
          <w:rFonts w:cs="Courier New" w:ascii="Courier New" w:hAnsi="Courier New"/>
          <w:sz w:val="18"/>
        </w:rPr>
        <w:t>die     DD_ID  DIE_ID floorplan "PATH" [discretization DVALUE DVALUE]?; ] +</w:t>
      </w:r>
    </w:p>
    <w:p>
      <w:pPr>
        <w:pStyle w:val="Normal"/>
        <w:jc w:val="both"/>
        <w:rPr/>
      </w:pPr>
      <w:r>
        <w:rPr/>
        <w:t>where</w:t>
      </w:r>
    </w:p>
    <w:p>
      <w:pPr>
        <w:pStyle w:val="ListParagraph"/>
        <w:numPr>
          <w:ilvl w:val="0"/>
          <w:numId w:val="10"/>
        </w:numPr>
        <w:jc w:val="both"/>
        <w:rPr/>
      </w:pPr>
      <w:r>
        <w:rPr>
          <w:rFonts w:cs="Courier New" w:ascii="Courier New" w:hAnsi="Courier New"/>
          <w:sz w:val="18"/>
        </w:rPr>
        <w:t>LL_ID</w:t>
      </w:r>
      <w:r>
        <w:rPr/>
        <w:t xml:space="preserve">, </w:t>
      </w:r>
      <w:r>
        <w:rPr>
          <w:rFonts w:cs="Courier New" w:ascii="Courier New" w:hAnsi="Courier New"/>
          <w:sz w:val="18"/>
        </w:rPr>
        <w:t>CC_ID</w:t>
      </w:r>
      <w:r>
        <w:rPr/>
        <w:t xml:space="preserve"> and </w:t>
      </w:r>
      <w:r>
        <w:rPr>
          <w:rFonts w:cs="Courier New" w:ascii="Courier New" w:hAnsi="Courier New"/>
          <w:sz w:val="18"/>
        </w:rPr>
        <w:t>DD_ID</w:t>
      </w:r>
      <w:r>
        <w:rPr/>
        <w:t xml:space="preserve"> are identifiers used to name the stack elements and they can be used in the simulator code to refer to the corresponding element. They must be unique for each element,</w:t>
      </w:r>
    </w:p>
    <w:p>
      <w:pPr>
        <w:pStyle w:val="ListParagraph"/>
        <w:numPr>
          <w:ilvl w:val="0"/>
          <w:numId w:val="10"/>
        </w:numPr>
        <w:jc w:val="both"/>
        <w:rPr/>
      </w:pPr>
      <w:r>
        <w:rPr>
          <w:rFonts w:cs="Courier New" w:ascii="Courier New" w:hAnsi="Courier New"/>
          <w:sz w:val="18"/>
        </w:rPr>
        <w:t>LAYER_ID</w:t>
      </w:r>
      <w:r>
        <w:rPr/>
        <w:t xml:space="preserve"> is the identifier of a layer (as previously declared).</w:t>
      </w:r>
    </w:p>
    <w:p>
      <w:pPr>
        <w:pStyle w:val="ListParagraph"/>
        <w:numPr>
          <w:ilvl w:val="0"/>
          <w:numId w:val="10"/>
        </w:numPr>
        <w:jc w:val="both"/>
        <w:rPr/>
      </w:pPr>
      <w:r>
        <w:rPr>
          <w:rFonts w:cs="Courier New" w:ascii="Courier New" w:hAnsi="Courier New"/>
          <w:sz w:val="18"/>
        </w:rPr>
        <w:t>DIE_ID</w:t>
      </w:r>
      <w:r>
        <w:rPr/>
        <w:t xml:space="preserve"> is the identifier of a die (as previously declared) and </w:t>
      </w:r>
      <w:r>
        <w:rPr>
          <w:rFonts w:cs="Courier New" w:ascii="Courier New" w:hAnsi="Courier New"/>
          <w:sz w:val="18"/>
        </w:rPr>
        <w:t>PATH</w:t>
      </w:r>
      <w:r>
        <w:rPr/>
        <w:t xml:space="preserve"> is the path to the floorplan file. This floorplan will be placed on the declared source layer in the definition of the die. The floorplan files contain information of the location and power dissipation activity of various floorplan components for the given die (see the description of Floorplan Files for more details). The same </w:t>
      </w:r>
      <w:r>
        <w:rPr>
          <w:rFonts w:cs="Courier New" w:ascii="Courier New" w:hAnsi="Courier New"/>
          <w:sz w:val="18"/>
          <w:szCs w:val="18"/>
        </w:rPr>
        <w:t>DIE_ID</w:t>
      </w:r>
      <w:r>
        <w:rPr/>
        <w:t xml:space="preserve"> can be used multiple times (with different identifiers </w:t>
      </w:r>
      <w:r>
        <w:rPr>
          <w:rFonts w:cs="Courier New" w:ascii="Courier New" w:hAnsi="Courier New"/>
          <w:sz w:val="18"/>
          <w:szCs w:val="18"/>
        </w:rPr>
        <w:t>DD_ID</w:t>
      </w:r>
      <w:r>
        <w:rPr/>
        <w:t>) in a stack with the same or different floorplans, if identical/similar dies exist in a single IC.</w:t>
      </w:r>
    </w:p>
    <w:p>
      <w:pPr>
        <w:pStyle w:val="ListParagraph"/>
        <w:numPr>
          <w:ilvl w:val="0"/>
          <w:numId w:val="10"/>
        </w:numPr>
        <w:jc w:val="both"/>
        <w:rPr/>
      </w:pPr>
      <w:r>
        <w:rPr>
          <w:rFonts w:ascii="Courier New" w:hAnsi="Courier New"/>
          <w:sz w:val="18"/>
          <w:szCs w:val="18"/>
        </w:rPr>
        <w:t xml:space="preserve">[discretization DVALUE DVALUE]? </w:t>
      </w:r>
      <w:r>
        <w:rPr/>
        <w:t>is the optional discretization level for layers or die. This argument only takes effect in the non-uniform mode. In the non-uniform mode, If the discretization level is not specified, the layer or die will take default values from the dimension setting. Otherwise, the defined discretization values will overwrite the default one derived from the dimension setting. In this way, the user can have a fully custom discretization design for different layers.</w:t>
      </w:r>
    </w:p>
    <w:p>
      <w:pPr>
        <w:pStyle w:val="Normal"/>
        <w:jc w:val="both"/>
        <w:rPr/>
      </w:pPr>
      <w:r>
        <w:rPr/>
        <w:t>Note that the keyword “channel” is used to specify the cavity in the stack- irrespective of which type of interlayer cavity (microchannels or pin fins) was declared in the stack descriptor.</w:t>
      </w:r>
    </w:p>
    <w:p>
      <w:pPr>
        <w:pStyle w:val="Normal"/>
        <w:jc w:val="both"/>
        <w:rPr/>
      </w:pPr>
      <w:r>
        <w:rPr/>
        <w:t>The above grammar for the stack section is not the representative of the real syntax that is supported and is only given for simplicity. For instance, the three main elements (layer, dieand channel) that compose the stack can be declared in any order butthe final stack sequence must satisfy the following constrains:</w:t>
      </w:r>
    </w:p>
    <w:p>
      <w:pPr>
        <w:pStyle w:val="ListParagraph"/>
        <w:numPr>
          <w:ilvl w:val="0"/>
          <w:numId w:val="11"/>
        </w:numPr>
        <w:jc w:val="both"/>
        <w:rPr/>
      </w:pPr>
      <w:r>
        <w:rPr/>
        <w:t>there must be at least one die</w:t>
      </w:r>
    </w:p>
    <w:p>
      <w:pPr>
        <w:pStyle w:val="ListParagraph"/>
        <w:numPr>
          <w:ilvl w:val="0"/>
          <w:numId w:val="11"/>
        </w:numPr>
        <w:jc w:val="both"/>
        <w:rPr/>
      </w:pPr>
      <w:r>
        <w:rPr/>
        <w:t>it cannot begin or end with a cavity (i.e., liquid-cooled cavities can’t be the bottommost or the topmost layers in a stack)</w:t>
      </w:r>
    </w:p>
    <w:p>
      <w:pPr>
        <w:pStyle w:val="ListParagraph"/>
        <w:numPr>
          <w:ilvl w:val="0"/>
          <w:numId w:val="11"/>
        </w:numPr>
        <w:jc w:val="both"/>
        <w:rPr/>
      </w:pPr>
      <w:r>
        <w:rPr/>
        <w:t>there cannot be two consecutive cavities</w:t>
      </w:r>
    </w:p>
    <w:p>
      <w:pPr>
        <w:pStyle w:val="ListParagraph"/>
        <w:numPr>
          <w:ilvl w:val="0"/>
          <w:numId w:val="11"/>
        </w:numPr>
        <w:jc w:val="both"/>
        <w:rPr/>
      </w:pPr>
      <w:r>
        <w:rPr/>
        <w:t>cavities can be used only if previously declared</w:t>
      </w:r>
    </w:p>
    <w:p>
      <w:pPr>
        <w:pStyle w:val="ListParagraph"/>
        <w:numPr>
          <w:ilvl w:val="0"/>
          <w:numId w:val="11"/>
        </w:numPr>
        <w:jc w:val="both"/>
        <w:rPr/>
      </w:pPr>
      <w:r>
        <w:rPr/>
        <w:t>layers are optional</w:t>
      </w:r>
    </w:p>
    <w:p>
      <w:pPr>
        <w:pStyle w:val="Normal"/>
        <w:jc w:val="both"/>
        <w:rPr/>
      </w:pPr>
      <w:r>
        <w:rPr/>
        <w:t>Declaring a layer in a stack is not mandatory but we left this option to support stacks with irregular patterns of dies and channels or to build auxiliary layers (such as a bonding layer).</w:t>
      </w:r>
    </w:p>
    <w:p>
      <w:pPr>
        <w:pStyle w:val="Normal"/>
        <w:jc w:val="both"/>
        <w:rPr/>
      </w:pPr>
      <w:r>
        <w:rPr/>
        <w:t>As in the case of defining dies, the final sequence of stack elements reflects their vertical disposition. The first stack element corresponds to the topmost element while the last element declared is closest to the PCB.</w:t>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5474"/>
        <w:gridCol w:w="4175"/>
      </w:tblGrid>
      <w:tr>
        <w:trPr/>
        <w:tc>
          <w:tcPr>
            <w:tcW w:w="5474"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 uniform mode</w:t>
            </w:r>
          </w:p>
        </w:tc>
        <w:tc>
          <w:tcPr>
            <w:tcW w:w="4175"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rHeight w:val="3331" w:hRule="atLeast"/>
        </w:trPr>
        <w:tc>
          <w:tcPr>
            <w:tcW w:w="5474"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1.30e-4;</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1.628e-12;</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2.25e-6;</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2.175e-12;</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pPr>
            <w:r>
              <w:rPr>
                <w:rFonts w:cs="Courier New" w:ascii="Courier New" w:hAnsi="Courier New"/>
                <w:sz w:val="18"/>
              </w:rPr>
              <w:t>top heat sink:</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heat transfer coefficient 1e-07 ;</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temperature 300 ;</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microchannel4rm:</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channel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length50;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first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material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flow rate 42;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heat transfer coefficient</w:t>
            </w:r>
          </w:p>
          <w:p>
            <w:pPr>
              <w:pStyle w:val="Normal"/>
              <w:widowControl w:val="false"/>
              <w:spacing w:lineRule="auto" w:line="240" w:before="0" w:after="0"/>
              <w:ind w:left="2160" w:hanging="0"/>
              <w:jc w:val="left"/>
              <w:rPr>
                <w:rFonts w:ascii="Courier New" w:hAnsi="Courier New" w:cs="Courier New"/>
                <w:sz w:val="18"/>
              </w:rPr>
            </w:pPr>
            <w:r>
              <w:rPr>
                <w:rFonts w:cs="Courier New" w:ascii="Courier New" w:hAnsi="Courier New"/>
                <w:sz w:val="18"/>
              </w:rPr>
              <w:t>top 5.7132e-8,</w:t>
            </w:r>
          </w:p>
          <w:p>
            <w:pPr>
              <w:pStyle w:val="Normal"/>
              <w:widowControl w:val="false"/>
              <w:spacing w:lineRule="auto" w:line="240" w:before="0" w:after="0"/>
              <w:ind w:left="2160" w:hanging="0"/>
              <w:jc w:val="left"/>
              <w:rPr>
                <w:rFonts w:ascii="Courier New" w:hAnsi="Courier New" w:cs="Courier New"/>
                <w:sz w:val="18"/>
              </w:rPr>
            </w:pPr>
            <w:r>
              <w:rPr>
                <w:rFonts w:cs="Courier New" w:ascii="Courier New" w:hAnsi="Courier New"/>
                <w:sz w:val="18"/>
              </w:rPr>
              <w:t>bottom 4.7132e-8;</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w:t>
            </w:r>
          </w:p>
          <w:p>
            <w:pPr>
              <w:pStyle w:val="Normal"/>
              <w:widowControl w:val="false"/>
              <w:spacing w:lineRule="auto" w:line="240" w:before="0" w:after="0"/>
              <w:ind w:left="2160" w:hanging="0"/>
              <w:jc w:val="left"/>
              <w:rPr>
                <w:rFonts w:ascii="Courier New" w:hAnsi="Courier New" w:cs="Courier New"/>
                <w:sz w:val="18"/>
              </w:rPr>
            </w:pPr>
            <w:r>
              <w:rPr>
                <w:rFonts w:cs="Courier New" w:ascii="Courier New" w:hAnsi="Courier New"/>
                <w:sz w:val="18"/>
              </w:rPr>
              <w:t>4.172e-12;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incoming temperature 300;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layer PCB:</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height 10 ;</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TOP_IC: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BOTTOM_IC: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10 BEOL;</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tc>
        <w:tc>
          <w:tcPr>
            <w:tcW w:w="4175" w:type="dxa"/>
            <w:tcBorders>
              <w:top w:val="nil"/>
              <w:left w:val="nil"/>
              <w:bottom w:val="nil"/>
            </w:tcBorders>
            <w:shd w:fill="auto" w:val="clear"/>
            <w:tcMar>
              <w:left w:w="113" w:type="dxa"/>
            </w:tcMar>
            <w:vAlign w:val="center"/>
          </w:tcPr>
          <w:p>
            <w:pPr>
              <w:pStyle w:val="Caption1"/>
              <w:widowControl w:val="false"/>
              <w:spacing w:before="0" w:after="0"/>
              <w:rPr/>
            </w:pPr>
            <w:r>
              <w:rPr/>
            </w:r>
          </w:p>
          <w:p>
            <w:pPr>
              <w:pStyle w:val="Normal"/>
              <w:keepNext w:val="true"/>
              <w:widowControl w:val="false"/>
              <w:spacing w:before="0" w:after="0"/>
              <w:jc w:val="center"/>
              <w:rPr>
                <w:sz w:val="20"/>
              </w:rPr>
            </w:pPr>
            <w:r>
              <w:rPr>
                <w:sz w:val="20"/>
              </w:rPr>
              <w:drawing>
                <wp:inline distT="0" distB="0" distL="0" distR="0">
                  <wp:extent cx="2513965" cy="2363470"/>
                  <wp:effectExtent l="0" t="0" r="0" b="0"/>
                  <wp:docPr id="24" name="Picture 2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92" descr=""/>
                          <pic:cNvPicPr>
                            <a:picLocks noChangeAspect="1" noChangeArrowheads="1"/>
                          </pic:cNvPicPr>
                        </pic:nvPicPr>
                        <pic:blipFill>
                          <a:blip r:embed="rId27"/>
                          <a:stretch>
                            <a:fillRect/>
                          </a:stretch>
                        </pic:blipFill>
                        <pic:spPr bwMode="auto">
                          <a:xfrm>
                            <a:off x="0" y="0"/>
                            <a:ext cx="2513965" cy="2363470"/>
                          </a:xfrm>
                          <a:prstGeom prst="rect">
                            <a:avLst/>
                          </a:prstGeom>
                        </pic:spPr>
                      </pic:pic>
                    </a:graphicData>
                  </a:graphic>
                </wp:inline>
              </w:drawing>
            </w:r>
          </w:p>
          <w:p>
            <w:pPr>
              <w:pStyle w:val="Caption1"/>
              <w:widowControl w:val="false"/>
              <w:spacing w:before="0" w:after="0"/>
              <w:jc w:val="center"/>
              <w:rPr/>
            </w:pPr>
            <w:r>
              <w:rPr/>
              <w:t>Figure 1</w:t>
            </w:r>
            <w:r>
              <w:rPr>
                <w:rFonts w:eastAsia="Calibri" w:cs=""/>
                <w:b/>
                <w:bCs/>
                <w:color w:val="000000" w:themeColor="text1"/>
                <w:kern w:val="0"/>
                <w:sz w:val="18"/>
                <w:szCs w:val="18"/>
                <w:lang w:val="en-US" w:eastAsia="en-US" w:bidi="ar-SA"/>
              </w:rPr>
              <w:t>8 (a)</w:t>
            </w:r>
            <w:r>
              <w:rPr/>
              <w:t>: Complete stack</w:t>
            </w:r>
          </w:p>
        </w:tc>
      </w:tr>
      <w:tr>
        <w:trPr>
          <w:trHeight w:val="1873" w:hRule="atLeast"/>
        </w:trPr>
        <w:tc>
          <w:tcPr>
            <w:tcW w:w="9649" w:type="dxa"/>
            <w:gridSpan w:val="2"/>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dimension :</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chip length 10000, width 10000;</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cell length 50, width 50;</w:t>
            </w:r>
          </w:p>
          <w:p>
            <w:pPr>
              <w:pStyle w:val="Normal"/>
              <w:widowControl w:val="false"/>
              <w:spacing w:lineRule="auto" w:line="240" w:before="0" w:after="0"/>
              <w:ind w:left="1440" w:hanging="0"/>
              <w:jc w:val="left"/>
              <w:rPr>
                <w:rFonts w:ascii="Courier New" w:hAnsi="Courier New" w:cs="Courier New"/>
                <w:sz w:val="18"/>
                <w:u w:val="double"/>
              </w:rPr>
            </w:pPr>
            <w:r>
              <w:rPr>
                <w:rFonts w:cs="Courier New" w:ascii="Courier New" w:hAnsi="Courier New"/>
                <w:sz w:val="20"/>
                <w:u w:val="double"/>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stack:</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MEMORY_DIE     TOP_IC    floorplan “./mem.flp”;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TOP_CHANNEL;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CORE_DIE       BOTTOM_IC floorplan “./core.flp”;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BOTTOM_CHANNEL;</w:t>
            </w:r>
          </w:p>
          <w:p>
            <w:pPr>
              <w:pStyle w:val="Normal"/>
              <w:keepNext w:val="true"/>
              <w:widowControl w:val="false"/>
              <w:tabs>
                <w:tab w:val="clear" w:pos="720"/>
                <w:tab w:val="left" w:pos="1703" w:leader="none"/>
              </w:tabs>
              <w:spacing w:lineRule="auto" w:line="240" w:before="0" w:after="0"/>
              <w:ind w:left="720" w:hanging="0"/>
              <w:jc w:val="left"/>
              <w:rPr/>
            </w:pPr>
            <w:r>
              <w:rPr>
                <w:rFonts w:cs="Courier New" w:ascii="Courier New" w:hAnsi="Courier New"/>
                <w:sz w:val="18"/>
              </w:rPr>
              <w:t>layer   BOTTOM_MOST    PCB ;</w:t>
            </w:r>
          </w:p>
        </w:tc>
      </w:tr>
    </w:tbl>
    <w:p>
      <w:pPr>
        <w:pStyle w:val="Normal"/>
        <w:jc w:val="both"/>
        <w:rPr/>
      </w:pPr>
      <w:r>
        <w:rPr/>
      </w:r>
    </w:p>
    <w:tbl>
      <w:tblPr>
        <w:tblStyle w:val="Tabellenraster"/>
        <w:tblW w:w="9650"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5474"/>
        <w:gridCol w:w="4175"/>
      </w:tblGrid>
      <w:tr>
        <w:trPr/>
        <w:tc>
          <w:tcPr>
            <w:tcW w:w="5474" w:type="dxa"/>
            <w:tcBorders>
              <w:bottom w:val="nil"/>
              <w:right w:val="nil"/>
            </w:tcBorders>
            <w:shd w:fill="auto" w:val="clear"/>
            <w:vAlign w:val="center"/>
          </w:tcPr>
          <w:p>
            <w:pPr>
              <w:pStyle w:val="Normal"/>
              <w:widowControl w:val="false"/>
              <w:spacing w:lineRule="auto" w:line="240" w:before="0" w:after="0"/>
              <w:jc w:val="left"/>
              <w:rPr>
                <w:b/>
                <w:b/>
              </w:rPr>
            </w:pPr>
            <w:r>
              <w:rPr>
                <w:b/>
                <w:sz w:val="20"/>
              </w:rPr>
              <w:t>Example: non-uniform mode</w:t>
            </w:r>
          </w:p>
        </w:tc>
        <w:tc>
          <w:tcPr>
            <w:tcW w:w="4175" w:type="dxa"/>
            <w:tcBorders>
              <w:left w:val="nil"/>
              <w:bottom w:val="nil"/>
            </w:tcBorders>
            <w:shd w:fill="auto" w:val="clear"/>
            <w:tcMar>
              <w:left w:w="113" w:type="dxa"/>
            </w:tcMar>
            <w:vAlign w:val="center"/>
          </w:tcPr>
          <w:p>
            <w:pPr>
              <w:pStyle w:val="Normal"/>
              <w:keepNext w:val="true"/>
              <w:widowControl w:val="false"/>
              <w:spacing w:lineRule="auto" w:line="240" w:before="0" w:after="0"/>
              <w:jc w:val="center"/>
              <w:rPr>
                <w:sz w:val="20"/>
              </w:rPr>
            </w:pPr>
            <w:r>
              <w:rPr>
                <w:sz w:val="20"/>
              </w:rPr>
            </w:r>
          </w:p>
        </w:tc>
      </w:tr>
      <w:tr>
        <w:trPr>
          <w:trHeight w:val="3331" w:hRule="atLeast"/>
        </w:trPr>
        <w:tc>
          <w:tcPr>
            <w:tcW w:w="5474"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1.30e-4;</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1.628e-12;</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2.25e-6;</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2.175e-12;</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pPr>
            <w:r>
              <w:rPr>
                <w:rFonts w:cs="Courier New" w:ascii="Courier New" w:hAnsi="Courier New"/>
                <w:sz w:val="18"/>
              </w:rPr>
              <w:t>top heat sink:</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heat transfer coefficient 1e-07 ;</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temperature 300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layer PCB:</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height 10 ;</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 xml:space="preserve">       </w:t>
            </w: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TOP_IC: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BOTTOM_IC: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10 BEOL;</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tc>
        <w:tc>
          <w:tcPr>
            <w:tcW w:w="4175" w:type="dxa"/>
            <w:tcBorders>
              <w:top w:val="nil"/>
              <w:left w:val="nil"/>
              <w:bottom w:val="nil"/>
            </w:tcBorders>
            <w:shd w:fill="auto" w:val="clear"/>
            <w:tcMar>
              <w:left w:w="113" w:type="dxa"/>
            </w:tcMar>
            <w:vAlign w:val="center"/>
          </w:tcPr>
          <w:p>
            <w:pPr>
              <w:pStyle w:val="Caption1"/>
              <w:widowControl w:val="false"/>
              <w:spacing w:before="0" w:after="0"/>
              <w:rPr/>
            </w:pPr>
            <w:r>
              <w:rPr/>
              <w:drawing>
                <wp:anchor behindDoc="0" distT="0" distB="0" distL="0" distR="0" simplePos="0" locked="0" layoutInCell="1" allowOverlap="1" relativeHeight="54">
                  <wp:simplePos x="0" y="0"/>
                  <wp:positionH relativeFrom="column">
                    <wp:posOffset>34290</wp:posOffset>
                  </wp:positionH>
                  <wp:positionV relativeFrom="paragraph">
                    <wp:posOffset>292100</wp:posOffset>
                  </wp:positionV>
                  <wp:extent cx="2511425" cy="1611630"/>
                  <wp:effectExtent l="0" t="0" r="0" b="0"/>
                  <wp:wrapSquare wrapText="largest"/>
                  <wp:docPr id="25"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8" descr=""/>
                          <pic:cNvPicPr>
                            <a:picLocks noChangeAspect="1" noChangeArrowheads="1"/>
                          </pic:cNvPicPr>
                        </pic:nvPicPr>
                        <pic:blipFill>
                          <a:blip r:embed="rId28"/>
                          <a:stretch>
                            <a:fillRect/>
                          </a:stretch>
                        </pic:blipFill>
                        <pic:spPr bwMode="auto">
                          <a:xfrm>
                            <a:off x="0" y="0"/>
                            <a:ext cx="2511425" cy="1611630"/>
                          </a:xfrm>
                          <a:prstGeom prst="rect">
                            <a:avLst/>
                          </a:prstGeom>
                        </pic:spPr>
                      </pic:pic>
                    </a:graphicData>
                  </a:graphic>
                </wp:anchor>
              </w:drawing>
            </w:r>
          </w:p>
          <w:p>
            <w:pPr>
              <w:pStyle w:val="Normal"/>
              <w:keepNext w:val="true"/>
              <w:widowControl w:val="false"/>
              <w:spacing w:before="0" w:after="0"/>
              <w:jc w:val="center"/>
              <w:rPr>
                <w:sz w:val="20"/>
              </w:rPr>
            </w:pPr>
            <w:r>
              <w:rPr>
                <w:sz w:val="20"/>
              </w:rPr>
            </w:r>
          </w:p>
          <w:p>
            <w:pPr>
              <w:pStyle w:val="Caption1"/>
              <w:widowControl w:val="false"/>
              <w:spacing w:before="0" w:after="0"/>
              <w:jc w:val="center"/>
              <w:rPr/>
            </w:pPr>
            <w:r>
              <w:rPr/>
              <w:t>Figure 18 (b): Complete stack and discretization</w:t>
            </w:r>
          </w:p>
        </w:tc>
      </w:tr>
      <w:tr>
        <w:trPr>
          <w:trHeight w:val="1873" w:hRule="atLeast"/>
        </w:trPr>
        <w:tc>
          <w:tcPr>
            <w:tcW w:w="9649" w:type="dxa"/>
            <w:gridSpan w:val="2"/>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dimension :</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chip length 10000, width 10000;</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cell length 50, width 50;</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non-uniform 1;</w:t>
            </w:r>
          </w:p>
          <w:p>
            <w:pPr>
              <w:pStyle w:val="Normal"/>
              <w:widowControl w:val="false"/>
              <w:spacing w:lineRule="auto" w:line="240" w:before="0" w:after="0"/>
              <w:ind w:left="1440" w:hanging="0"/>
              <w:jc w:val="left"/>
              <w:rPr>
                <w:rFonts w:ascii="Courier New" w:hAnsi="Courier New" w:cs="Courier New"/>
                <w:sz w:val="18"/>
                <w:u w:val="double"/>
              </w:rPr>
            </w:pPr>
            <w:r>
              <w:rPr>
                <w:rFonts w:cs="Courier New" w:ascii="Courier New" w:hAnsi="Courier New"/>
                <w:sz w:val="20"/>
                <w:u w:val="double"/>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stack:</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MEMORY_DIE     TOP_IC    floorplan “./mem.flp” discretization 3 3;</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TOP_CHANNEL;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 xml:space="preserve">die     CORE_DIE       BOTTOM_IC floorplan “./core.flp”discretization </w:t>
            </w:r>
            <w:r>
              <w:rPr>
                <w:rFonts w:eastAsia="Calibri" w:cs="Courier New" w:ascii="Courier New" w:hAnsi="Courier New" w:eastAsiaTheme="minorHAnsi"/>
                <w:color w:val="00000A"/>
                <w:kern w:val="0"/>
                <w:sz w:val="18"/>
                <w:szCs w:val="22"/>
                <w:lang w:val="en-US" w:eastAsia="en-US" w:bidi="ar-SA"/>
              </w:rPr>
              <w:t>5</w:t>
            </w:r>
            <w:r>
              <w:rPr>
                <w:rFonts w:cs="Courier New" w:ascii="Courier New" w:hAnsi="Courier New"/>
                <w:sz w:val="18"/>
              </w:rPr>
              <w:t xml:space="preserve"> </w:t>
            </w:r>
            <w:r>
              <w:rPr>
                <w:rFonts w:eastAsia="Calibri" w:cs="Courier New" w:ascii="Courier New" w:hAnsi="Courier New" w:eastAsiaTheme="minorHAnsi"/>
                <w:color w:val="00000A"/>
                <w:kern w:val="0"/>
                <w:sz w:val="18"/>
                <w:szCs w:val="22"/>
                <w:lang w:val="en-US" w:eastAsia="en-US" w:bidi="ar-SA"/>
              </w:rPr>
              <w:t>5</w:t>
            </w:r>
            <w:r>
              <w:rPr>
                <w:rFonts w:cs="Courier New" w:ascii="Courier New" w:hAnsi="Courier New"/>
                <w:sz w:val="18"/>
              </w:rPr>
              <w:t>;</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BOTTOM_CHANNEL;</w:t>
            </w:r>
          </w:p>
          <w:p>
            <w:pPr>
              <w:pStyle w:val="Normal"/>
              <w:keepNext w:val="true"/>
              <w:widowControl w:val="false"/>
              <w:tabs>
                <w:tab w:val="clear" w:pos="720"/>
                <w:tab w:val="left" w:pos="1703" w:leader="none"/>
              </w:tabs>
              <w:spacing w:lineRule="auto" w:line="240" w:before="0" w:after="0"/>
              <w:ind w:left="720" w:hanging="0"/>
              <w:jc w:val="left"/>
              <w:rPr/>
            </w:pPr>
            <w:r>
              <w:rPr>
                <w:rFonts w:cs="Courier New" w:ascii="Courier New" w:hAnsi="Courier New"/>
                <w:sz w:val="18"/>
              </w:rPr>
              <w:t>layer   BOTTOM_MOST    PCB ;</w:t>
            </w:r>
          </w:p>
        </w:tc>
      </w:tr>
    </w:tbl>
    <w:p>
      <w:pPr>
        <w:pStyle w:val="Heading3"/>
        <w:numPr>
          <w:ilvl w:val="0"/>
          <w:numId w:val="22"/>
        </w:numPr>
        <w:ind w:left="426" w:hanging="142"/>
        <w:rPr/>
      </w:pPr>
      <w:bookmarkStart w:id="95" w:name="__RefHeading___Toc2983_2393532176"/>
      <w:bookmarkEnd w:id="95"/>
      <w:r>
        <w:rPr/>
        <w:t>Analysis options</w:t>
      </w:r>
    </w:p>
    <w:p>
      <w:pPr>
        <w:pStyle w:val="Normal"/>
        <w:jc w:val="both"/>
        <w:rPr/>
      </w:pPr>
      <w:r>
        <w:rPr/>
        <w:t xml:space="preserve">In 3D-ICE either transient or steady state simulations can be performed. </w:t>
      </w:r>
    </w:p>
    <w:p>
      <w:pPr>
        <w:pStyle w:val="Normal"/>
        <w:ind w:left="720" w:hanging="0"/>
        <w:jc w:val="both"/>
        <w:rPr>
          <w:rFonts w:ascii="Courier New" w:hAnsi="Courier New" w:cs="Courier New"/>
          <w:sz w:val="18"/>
        </w:rPr>
      </w:pPr>
      <w:r>
        <w:rPr>
          <w:rFonts w:cs="Courier New" w:ascii="Courier New" w:hAnsi="Courier New"/>
          <w:sz w:val="18"/>
        </w:rPr>
        <w:t>solver:</w:t>
      </w:r>
    </w:p>
    <w:p>
      <w:pPr>
        <w:pStyle w:val="Normal"/>
        <w:ind w:left="1440" w:hanging="0"/>
        <w:jc w:val="both"/>
        <w:rPr>
          <w:rFonts w:ascii="Courier New" w:hAnsi="Courier New" w:cs="Courier New"/>
          <w:sz w:val="18"/>
        </w:rPr>
      </w:pPr>
      <w:r>
        <w:rPr>
          <w:rFonts w:cs="Courier New" w:ascii="Courier New" w:hAnsi="Courier New"/>
          <w:sz w:val="18"/>
        </w:rPr>
        <w:t>[steady | transient step DVALUE, slot DVALUE] ;</w:t>
      </w:r>
    </w:p>
    <w:p>
      <w:pPr>
        <w:pStyle w:val="Normal"/>
        <w:ind w:left="1440" w:hanging="0"/>
        <w:jc w:val="both"/>
        <w:rPr>
          <w:rFonts w:ascii="Courier New" w:hAnsi="Courier New" w:cs="Courier New"/>
          <w:sz w:val="18"/>
          <w:lang w:val="fr-CH"/>
        </w:rPr>
      </w:pPr>
      <w:r>
        <w:rPr>
          <w:rFonts w:cs="Courier New" w:ascii="Courier New" w:hAnsi="Courier New"/>
          <w:sz w:val="18"/>
          <w:lang w:val="fr-CH"/>
        </w:rPr>
        <w:t>initial temperature DVALUE ;</w:t>
      </w:r>
    </w:p>
    <w:p>
      <w:pPr>
        <w:pStyle w:val="Normal"/>
        <w:jc w:val="both"/>
        <w:rPr/>
      </w:pPr>
      <w:r>
        <w:rPr/>
        <w:t>where</w:t>
      </w:r>
    </w:p>
    <w:p>
      <w:pPr>
        <w:pStyle w:val="ListParagraph"/>
        <w:numPr>
          <w:ilvl w:val="0"/>
          <w:numId w:val="7"/>
        </w:numPr>
        <w:jc w:val="both"/>
        <w:rPr/>
      </w:pPr>
      <w:r>
        <w:rPr>
          <w:rFonts w:cs="Courier New" w:ascii="Courier New" w:hAnsi="Courier New"/>
          <w:sz w:val="18"/>
        </w:rPr>
        <w:t>steady</w:t>
      </w:r>
      <w:r>
        <w:rPr/>
        <w:t xml:space="preserve"> and </w:t>
      </w:r>
      <w:r>
        <w:rPr>
          <w:rFonts w:cs="Courier New" w:ascii="Courier New" w:hAnsi="Courier New"/>
          <w:sz w:val="18"/>
        </w:rPr>
        <w:t xml:space="preserve">transient </w:t>
      </w:r>
      <w:r>
        <w:rPr/>
        <w:t>indicate steady state and transient analysis respectively,</w:t>
      </w:r>
    </w:p>
    <w:p>
      <w:pPr>
        <w:pStyle w:val="ListParagraph"/>
        <w:numPr>
          <w:ilvl w:val="0"/>
          <w:numId w:val="7"/>
        </w:numPr>
        <w:jc w:val="both"/>
        <w:rPr/>
      </w:pPr>
      <w:r>
        <w:rPr>
          <w:rFonts w:cs="Courier New" w:ascii="Courier New" w:hAnsi="Courier New"/>
          <w:sz w:val="18"/>
        </w:rPr>
        <w:t>step</w:t>
      </w:r>
      <w:r>
        <w:rPr/>
        <w:t xml:space="preserve">  corresponds to the internal stepping time (in </w:t>
      </w:r>
      <w:r>
        <w:rPr>
          <w:rFonts w:cs="Calibri" w:cstheme="minorHAnsi"/>
        </w:rPr>
        <w:t>sec</w:t>
      </w:r>
      <w:r>
        <w:rPr/>
        <w:t>) to be used in the transient simulation in 3D-ICE (note that while performing co-simulation this is also the step at which the heat sink model will be simulated),</w:t>
      </w:r>
    </w:p>
    <w:p>
      <w:pPr>
        <w:pStyle w:val="ListParagraph"/>
        <w:numPr>
          <w:ilvl w:val="0"/>
          <w:numId w:val="7"/>
        </w:numPr>
        <w:jc w:val="both"/>
        <w:rPr/>
      </w:pPr>
      <w:r>
        <w:rPr>
          <w:rFonts w:cs="Courier New" w:ascii="Courier New" w:hAnsi="Courier New"/>
          <w:sz w:val="18"/>
        </w:rPr>
        <w:t>slot</w:t>
      </w:r>
      <w:r>
        <w:rPr/>
        <w:t xml:space="preserve"> is  the slot time (in sec) for which each power value in the floorplan file lasts for in the transient simulation (see Section 6.B). This value must be greater or equal to the stepping time value,</w:t>
      </w:r>
    </w:p>
    <w:p>
      <w:pPr>
        <w:pStyle w:val="ListParagraph"/>
        <w:numPr>
          <w:ilvl w:val="0"/>
          <w:numId w:val="7"/>
        </w:numPr>
        <w:jc w:val="both"/>
        <w:rPr/>
      </w:pPr>
      <w:r>
        <w:rPr>
          <w:rFonts w:cs="Courier New" w:ascii="Courier New" w:hAnsi="Courier New"/>
          <w:sz w:val="18"/>
        </w:rPr>
        <w:t xml:space="preserve">initial temperature </w:t>
      </w:r>
      <w:r>
        <w:rPr/>
        <w:t>denotes the initial temperature (in K) for the simulation.</w:t>
      </w:r>
    </w:p>
    <w:tbl>
      <w:tblPr>
        <w:tblStyle w:val="Tabellenraster"/>
        <w:tblW w:w="957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7037"/>
        <w:gridCol w:w="2538"/>
      </w:tblGrid>
      <w:tr>
        <w:trPr/>
        <w:tc>
          <w:tcPr>
            <w:tcW w:w="7037" w:type="dxa"/>
            <w:tcBorders>
              <w:bottom w:val="nil"/>
              <w:right w:val="nil"/>
            </w:tcBorders>
            <w:shd w:fill="auto" w:val="clear"/>
          </w:tcPr>
          <w:p>
            <w:pPr>
              <w:pStyle w:val="Normal"/>
              <w:widowControl w:val="false"/>
              <w:spacing w:lineRule="auto" w:line="240" w:before="0" w:after="0"/>
              <w:jc w:val="both"/>
              <w:rPr>
                <w:b/>
                <w:b/>
              </w:rPr>
            </w:pPr>
            <w:r>
              <w:rPr>
                <w:b/>
                <w:sz w:val="20"/>
              </w:rPr>
              <w:t>Example (steady state)</w:t>
            </w:r>
          </w:p>
        </w:tc>
        <w:tc>
          <w:tcPr>
            <w:tcW w:w="2538" w:type="dxa"/>
            <w:tcBorders>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bottom w:val="nil"/>
              <w:right w:val="nil"/>
            </w:tcBorders>
            <w:shd w:fill="auto" w:val="clear"/>
          </w:tcPr>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solver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steady;</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initial temperature 300.0;</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tc>
        <w:tc>
          <w:tcPr>
            <w:tcW w:w="2538" w:type="dxa"/>
            <w:tcBorders>
              <w:top w:val="nil"/>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bottom w:val="nil"/>
              <w:right w:val="nil"/>
            </w:tcBorders>
            <w:shd w:fill="auto" w:val="clear"/>
          </w:tcPr>
          <w:p>
            <w:pPr>
              <w:pStyle w:val="Normal"/>
              <w:widowControl w:val="false"/>
              <w:spacing w:lineRule="auto" w:line="240" w:before="0" w:after="0"/>
              <w:jc w:val="both"/>
              <w:rPr>
                <w:rFonts w:ascii="Courier New" w:hAnsi="Courier New" w:cs="Courier New"/>
                <w:sz w:val="18"/>
              </w:rPr>
            </w:pPr>
            <w:r>
              <w:rPr>
                <w:b/>
                <w:sz w:val="20"/>
              </w:rPr>
              <w:t>Example (transient)</w:t>
            </w:r>
          </w:p>
        </w:tc>
        <w:tc>
          <w:tcPr>
            <w:tcW w:w="2538" w:type="dxa"/>
            <w:tcBorders>
              <w:top w:val="nil"/>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right w:val="nil"/>
            </w:tcBorders>
            <w:shd w:fill="auto" w:val="clear"/>
          </w:tcPr>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solver :</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transient step 0.02, slot 0.2;</w:t>
            </w:r>
          </w:p>
          <w:p>
            <w:pPr>
              <w:pStyle w:val="Normal"/>
              <w:widowControl w:val="false"/>
              <w:spacing w:lineRule="auto" w:line="240" w:before="0" w:after="0"/>
              <w:ind w:left="1440" w:hanging="0"/>
              <w:jc w:val="both"/>
              <w:rPr>
                <w:rFonts w:ascii="Courier New" w:hAnsi="Courier New" w:cs="Courier New"/>
                <w:sz w:val="18"/>
              </w:rPr>
            </w:pPr>
            <w:r>
              <w:rPr>
                <w:rFonts w:cs="Courier New" w:ascii="Courier New" w:hAnsi="Courier New"/>
                <w:sz w:val="18"/>
              </w:rPr>
              <w:t>initial temperature 300.0;</w:t>
            </w:r>
          </w:p>
          <w:p>
            <w:pPr>
              <w:pStyle w:val="Normal"/>
              <w:widowControl w:val="false"/>
              <w:spacing w:lineRule="auto" w:line="240" w:before="0" w:after="0"/>
              <w:ind w:left="720" w:hanging="0"/>
              <w:jc w:val="both"/>
              <w:rPr>
                <w:b/>
                <w:b/>
              </w:rPr>
            </w:pPr>
            <w:r>
              <w:rPr>
                <w:b/>
                <w:sz w:val="20"/>
              </w:rPr>
            </w:r>
          </w:p>
        </w:tc>
        <w:tc>
          <w:tcPr>
            <w:tcW w:w="2538" w:type="dxa"/>
            <w:tcBorders>
              <w:top w:val="nil"/>
              <w:left w:val="nil"/>
            </w:tcBorders>
            <w:shd w:fill="auto" w:val="clear"/>
            <w:tcMar>
              <w:left w:w="113" w:type="dxa"/>
            </w:tcMar>
          </w:tcPr>
          <w:p>
            <w:pPr>
              <w:pStyle w:val="Normal"/>
              <w:widowControl w:val="false"/>
              <w:spacing w:lineRule="auto" w:line="240" w:before="0" w:after="0"/>
              <w:jc w:val="both"/>
              <w:rPr>
                <w:sz w:val="20"/>
              </w:rPr>
            </w:pPr>
            <w:r>
              <w:rPr>
                <w:sz w:val="20"/>
              </w:rPr>
            </w:r>
          </w:p>
        </w:tc>
      </w:tr>
    </w:tbl>
    <w:p>
      <w:pPr>
        <w:pStyle w:val="Normal"/>
        <w:jc w:val="both"/>
        <w:rPr>
          <w:b/>
          <w:b/>
        </w:rPr>
      </w:pPr>
      <w:r>
        <w:rPr>
          <w:b/>
        </w:rPr>
      </w:r>
    </w:p>
    <w:p>
      <w:pPr>
        <w:pStyle w:val="Heading3"/>
        <w:numPr>
          <w:ilvl w:val="0"/>
          <w:numId w:val="22"/>
        </w:numPr>
        <w:ind w:left="426" w:hanging="153"/>
        <w:rPr/>
      </w:pPr>
      <w:bookmarkStart w:id="96" w:name="__RefHeading___Toc2985_2393532176"/>
      <w:bookmarkStart w:id="97" w:name="_Toc442446453"/>
      <w:bookmarkEnd w:id="96"/>
      <w:bookmarkEnd w:id="97"/>
      <w:r>
        <w:rPr/>
        <w:t>Output Instructions</w:t>
      </w:r>
    </w:p>
    <w:p>
      <w:pPr>
        <w:pStyle w:val="Normal"/>
        <w:jc w:val="both"/>
        <w:rPr/>
      </w:pPr>
      <w:r>
        <w:rPr/>
        <w:t>A variety of outputs can be obtained from 3D-ICE simulations, a temperature and power. In this last section of the stack descriptor, various output instructions can be provided for this purpose. The syntax for these instructions follow the model of conventional circuit simulators.</w:t>
      </w:r>
    </w:p>
    <w:p>
      <w:pPr>
        <w:pStyle w:val="Normal"/>
        <w:ind w:left="720" w:hanging="0"/>
        <w:jc w:val="both"/>
        <w:rPr>
          <w:rFonts w:ascii="Courier New" w:hAnsi="Courier New" w:cs="Courier New"/>
          <w:sz w:val="18"/>
        </w:rPr>
      </w:pPr>
      <w:r>
        <w:rPr>
          <w:rFonts w:cs="Courier New" w:ascii="Courier New" w:hAnsi="Courier New"/>
          <w:sz w:val="18"/>
        </w:rPr>
        <w:t>output:</w:t>
      </w:r>
    </w:p>
    <w:p>
      <w:pPr>
        <w:pStyle w:val="Normal"/>
        <w:ind w:left="1440" w:hanging="0"/>
        <w:jc w:val="both"/>
        <w:rPr>
          <w:rFonts w:ascii="Courier New" w:hAnsi="Courier New" w:cs="Courier New"/>
          <w:sz w:val="18"/>
        </w:rPr>
      </w:pPr>
      <w:r>
        <w:rPr>
          <w:rFonts w:cs="Courier New" w:ascii="Courier New" w:hAnsi="Courier New"/>
          <w:sz w:val="18"/>
        </w:rPr>
        <w:t>[ T( VER_ID, DVALUE, DVALUE, "PATH" [, INSTANCE_ID]? ) ; |</w:t>
      </w:r>
    </w:p>
    <w:p>
      <w:pPr>
        <w:pStyle w:val="Normal"/>
        <w:ind w:left="1440" w:hanging="0"/>
        <w:jc w:val="both"/>
        <w:rPr>
          <w:rFonts w:ascii="Courier New" w:hAnsi="Courier New" w:cs="Courier New"/>
          <w:sz w:val="18"/>
        </w:rPr>
      </w:pPr>
      <w:r>
        <w:rPr>
          <w:rFonts w:cs="Courier New" w:ascii="Courier New" w:hAnsi="Courier New"/>
          <w:sz w:val="18"/>
        </w:rPr>
        <w:t>Tflp( DD_ID, "PATH", OUTTYPE_ID [, INSTANCE_ID]? ) ; |</w:t>
      </w:r>
    </w:p>
    <w:p>
      <w:pPr>
        <w:pStyle w:val="Normal"/>
        <w:ind w:left="1440" w:hanging="0"/>
        <w:jc w:val="both"/>
        <w:rPr>
          <w:rFonts w:ascii="Courier New" w:hAnsi="Courier New" w:cs="Courier New"/>
          <w:sz w:val="18"/>
        </w:rPr>
      </w:pPr>
      <w:r>
        <w:rPr>
          <w:rFonts w:cs="Courier New" w:ascii="Courier New" w:hAnsi="Courier New"/>
          <w:sz w:val="18"/>
        </w:rPr>
        <w:t>Tflpel( DD_ID.FLPEL_ID, "PATH", OUTTYPE_ID [, INSTANCE_ID]? ) ; |</w:t>
      </w:r>
    </w:p>
    <w:p>
      <w:pPr>
        <w:pStyle w:val="Normal"/>
        <w:ind w:left="1440" w:hanging="0"/>
        <w:jc w:val="both"/>
        <w:rPr>
          <w:rFonts w:ascii="Courier New" w:hAnsi="Courier New" w:cs="Courier New"/>
          <w:sz w:val="18"/>
        </w:rPr>
      </w:pPr>
      <w:r>
        <w:rPr>
          <w:rFonts w:cs="Courier New" w:ascii="Courier New" w:hAnsi="Courier New"/>
          <w:sz w:val="18"/>
        </w:rPr>
        <w:t>Tmap( VER_ID, "PATH" [, INSTANCE_ID]? ) ; |</w:t>
      </w:r>
    </w:p>
    <w:p>
      <w:pPr>
        <w:pStyle w:val="Normal"/>
        <w:ind w:left="1440" w:hanging="0"/>
        <w:jc w:val="both"/>
        <w:rPr>
          <w:rFonts w:ascii="Courier New" w:hAnsi="Courier New" w:cs="Courier New"/>
          <w:sz w:val="18"/>
        </w:rPr>
      </w:pPr>
      <w:r>
        <w:rPr>
          <w:rFonts w:cs="Courier New" w:ascii="Courier New" w:hAnsi="Courier New"/>
          <w:sz w:val="18"/>
        </w:rPr>
        <w:t>Pmap(DD_ID, "PATH" [, INSTANCE_ID]? ) ;                 |</w:t>
      </w:r>
    </w:p>
    <w:p>
      <w:pPr>
        <w:pStyle w:val="Normal"/>
        <w:ind w:left="1440" w:hanging="0"/>
        <w:jc w:val="both"/>
        <w:rPr>
          <w:rFonts w:ascii="Courier New" w:hAnsi="Courier New" w:cs="Courier New"/>
          <w:sz w:val="18"/>
        </w:rPr>
      </w:pPr>
      <w:r>
        <w:rPr>
          <w:rFonts w:cs="Courier New" w:ascii="Courier New" w:hAnsi="Courier New"/>
          <w:sz w:val="18"/>
        </w:rPr>
        <w:t>Tcoolant( CC_ID, "PATH", OUTTYPE_ID [, INSTANCE_ID]? ) ; ]+</w:t>
      </w:r>
    </w:p>
    <w:p>
      <w:pPr>
        <w:pStyle w:val="Normal"/>
        <w:jc w:val="both"/>
        <w:rPr/>
      </w:pPr>
      <w:r>
        <w:rPr/>
        <w:t>where</w:t>
      </w:r>
    </w:p>
    <w:p>
      <w:pPr>
        <w:pStyle w:val="ListParagraph"/>
        <w:numPr>
          <w:ilvl w:val="0"/>
          <w:numId w:val="7"/>
        </w:numPr>
        <w:jc w:val="both"/>
        <w:rPr/>
      </w:pPr>
      <w:r>
        <w:rPr>
          <w:rFonts w:cs="Courier New" w:ascii="Courier New" w:hAnsi="Courier New"/>
          <w:sz w:val="18"/>
        </w:rPr>
        <w:t>T</w:t>
      </w:r>
      <w:r>
        <w:rPr/>
        <w:t xml:space="preserve"> is an instruction to print the temperature of a particular thermal cell, identified by its three-dimensional coordinates in the thermal grid, in a text file. The output format consists of two columns- the time instance (in sec) against the corresponding temperature value (in K). </w:t>
      </w:r>
    </w:p>
    <w:p>
      <w:pPr>
        <w:pStyle w:val="ListParagraph"/>
        <w:jc w:val="both"/>
        <w:rPr>
          <w:rFonts w:ascii="Courier New" w:hAnsi="Courier New" w:cs="Courier New"/>
          <w:sz w:val="18"/>
        </w:rPr>
      </w:pPr>
      <w:r>
        <w:rPr>
          <w:rFonts w:cs="Courier New" w:ascii="Courier New" w:hAnsi="Courier New"/>
          <w:sz w:val="18"/>
        </w:rPr>
      </w:r>
    </w:p>
    <w:p>
      <w:pPr>
        <w:pStyle w:val="ListParagraph"/>
        <w:jc w:val="both"/>
        <w:rPr>
          <w:rFonts w:ascii="Courier New" w:hAnsi="Courier New" w:cs="Courier New"/>
          <w:sz w:val="18"/>
          <w:lang w:val="fr-CH"/>
        </w:rPr>
      </w:pPr>
      <w:r>
        <w:rPr>
          <w:rFonts w:cs="Courier New" w:ascii="Courier New" w:hAnsi="Courier New"/>
          <w:sz w:val="18"/>
          <w:lang w:val="fr-CH"/>
        </w:rPr>
        <w:t>T( VER_ID, DVALUE, DVALUE, "PATH" [, INSTANCE_ID]? ) ;</w:t>
      </w:r>
    </w:p>
    <w:p>
      <w:pPr>
        <w:pStyle w:val="ListParagraph"/>
        <w:numPr>
          <w:ilvl w:val="1"/>
          <w:numId w:val="7"/>
        </w:numPr>
        <w:jc w:val="both"/>
        <w:rPr/>
      </w:pPr>
      <w:r>
        <w:rPr>
          <w:rFonts w:cs="Courier New" w:ascii="Courier New" w:hAnsi="Courier New"/>
          <w:sz w:val="18"/>
        </w:rPr>
        <w:t>VER_ID</w:t>
      </w:r>
      <w:r>
        <w:rPr/>
        <w:t xml:space="preserve"> specifies the  “z” location of the thermal cell. This can assume a value of</w:t>
      </w:r>
      <w:r>
        <w:rPr>
          <w:rFonts w:cs="Courier New" w:ascii="Courier New" w:hAnsi="Courier New"/>
          <w:sz w:val="18"/>
        </w:rPr>
        <w:t>LL_ID</w:t>
      </w:r>
      <w:r>
        <w:rPr/>
        <w:t xml:space="preserve">, </w:t>
      </w:r>
      <w:r>
        <w:rPr>
          <w:rFonts w:cs="Courier New" w:ascii="Courier New" w:hAnsi="Courier New"/>
          <w:sz w:val="18"/>
        </w:rPr>
        <w:t>DD_ID</w:t>
      </w:r>
      <w:r>
        <w:rPr/>
        <w:t xml:space="preserve"> or a </w:t>
      </w:r>
      <w:r>
        <w:rPr>
          <w:rFonts w:cs="Courier New" w:ascii="Courier New" w:hAnsi="Courier New"/>
          <w:sz w:val="18"/>
        </w:rPr>
        <w:t>CC_ID</w:t>
      </w:r>
      <w:r>
        <w:rPr/>
        <w:t xml:space="preserve"> (see Section 6.A.v). If a die (</w:t>
      </w:r>
      <w:r>
        <w:rPr>
          <w:rFonts w:cs="Courier New" w:ascii="Courier New" w:hAnsi="Courier New"/>
          <w:sz w:val="18"/>
        </w:rPr>
        <w:t>DD_ID</w:t>
      </w:r>
      <w:r>
        <w:rPr/>
        <w:t xml:space="preserve">) is specified, then the thermal cell would be located in the source layer of that die, </w:t>
      </w:r>
    </w:p>
    <w:p>
      <w:pPr>
        <w:pStyle w:val="ListParagraph"/>
        <w:numPr>
          <w:ilvl w:val="1"/>
          <w:numId w:val="7"/>
        </w:numPr>
        <w:jc w:val="both"/>
        <w:rPr/>
      </w:pPr>
      <w:r>
        <w:rPr>
          <w:rFonts w:cs="Courier New" w:ascii="Courier New" w:hAnsi="Courier New"/>
          <w:sz w:val="18"/>
        </w:rPr>
        <w:t>D_VALUE, D_VALUE</w:t>
      </w:r>
      <w:r>
        <w:rPr/>
        <w:t xml:space="preserve"> (in μm) specify the “x” and “y” locations of the thermal cell. An error message is printed if the location specified is outside of the computational domain, </w:t>
      </w:r>
    </w:p>
    <w:p>
      <w:pPr>
        <w:pStyle w:val="ListParagraph"/>
        <w:numPr>
          <w:ilvl w:val="1"/>
          <w:numId w:val="7"/>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7"/>
        </w:numPr>
        <w:jc w:val="both"/>
        <w:rPr/>
      </w:pPr>
      <w:r>
        <w:rPr>
          <w:rFonts w:cs="Courier New" w:ascii="Courier New" w:hAnsi="Courier New"/>
          <w:sz w:val="18"/>
        </w:rPr>
        <w:t xml:space="preserve">INSTANCE_ID </w:t>
      </w:r>
      <w:r>
        <w:rPr/>
        <w:t xml:space="preserve">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ListParagraph"/>
        <w:ind w:left="1440" w:hanging="0"/>
        <w:jc w:val="both"/>
        <w:rPr/>
      </w:pPr>
      <w:r>
        <w:rPr/>
      </w:r>
    </w:p>
    <w:p>
      <w:pPr>
        <w:pStyle w:val="ListParagraph"/>
        <w:numPr>
          <w:ilvl w:val="0"/>
          <w:numId w:val="7"/>
        </w:numPr>
        <w:jc w:val="both"/>
        <w:rPr/>
      </w:pPr>
      <w:r>
        <w:rPr>
          <w:rFonts w:cs="Courier New" w:ascii="Courier New" w:hAnsi="Courier New"/>
          <w:sz w:val="18"/>
        </w:rPr>
        <w:t xml:space="preserve">Tflp </w:t>
      </w:r>
      <w:r>
        <w:rPr/>
        <w:t>is an instruction to print the temperature of a particular floorplan (the source layer of a particular die), identified by its die identifier (</w:t>
      </w:r>
      <w:r>
        <w:rPr>
          <w:rFonts w:cs="Courier New" w:ascii="Courier New" w:hAnsi="Courier New"/>
          <w:sz w:val="18"/>
        </w:rPr>
        <w:t>DD_ID</w:t>
      </w:r>
      <w:r>
        <w:rPr/>
        <w:t xml:space="preserve">). The output format consists of two columns- the time instance (in sec) against the corresponding temperature value (in K). </w:t>
      </w:r>
    </w:p>
    <w:p>
      <w:pPr>
        <w:pStyle w:val="ListParagraph"/>
        <w:jc w:val="both"/>
        <w:rPr/>
      </w:pPr>
      <w:r>
        <w:rPr/>
      </w:r>
    </w:p>
    <w:p>
      <w:pPr>
        <w:pStyle w:val="ListParagraph"/>
        <w:jc w:val="both"/>
        <w:rPr>
          <w:rFonts w:ascii="Courier New" w:hAnsi="Courier New" w:cs="Courier New"/>
          <w:sz w:val="18"/>
        </w:rPr>
      </w:pPr>
      <w:r>
        <w:rPr>
          <w:rFonts w:cs="Courier New" w:ascii="Courier New" w:hAnsi="Courier New"/>
          <w:sz w:val="18"/>
        </w:rPr>
        <w:t>Tflp( DD_ID, "PATH", OUTTYPE_ID [, INSTANCE_ID]? ) ;</w:t>
      </w:r>
    </w:p>
    <w:p>
      <w:pPr>
        <w:pStyle w:val="ListParagraph"/>
        <w:numPr>
          <w:ilvl w:val="1"/>
          <w:numId w:val="7"/>
        </w:numPr>
        <w:jc w:val="both"/>
        <w:rPr/>
      </w:pPr>
      <w:r>
        <w:rPr>
          <w:rFonts w:cs="Courier New" w:ascii="Courier New" w:hAnsi="Courier New"/>
          <w:sz w:val="18"/>
        </w:rPr>
        <w:t>DD_ID</w:t>
      </w:r>
      <w:r>
        <w:rPr/>
        <w:t xml:space="preserve"> is the identifier of the die whose floorplan temperature must be printed. </w:t>
      </w:r>
    </w:p>
    <w:p>
      <w:pPr>
        <w:pStyle w:val="ListParagraph"/>
        <w:numPr>
          <w:ilvl w:val="1"/>
          <w:numId w:val="7"/>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7"/>
        </w:numPr>
        <w:jc w:val="both"/>
        <w:rPr/>
      </w:pPr>
      <w:r>
        <w:rPr>
          <w:rFonts w:cs="Courier New" w:ascii="Courier New" w:hAnsi="Courier New"/>
          <w:sz w:val="18"/>
        </w:rPr>
        <w:t xml:space="preserve">OUTTYPE_ID </w:t>
      </w:r>
      <w:r>
        <w:rPr/>
        <w:t xml:space="preserve">specifies the exact nature of the temperature to be reported, and can assume the values </w:t>
      </w:r>
      <w:r>
        <w:rPr>
          <w:rFonts w:cs="Courier New" w:ascii="Courier New" w:hAnsi="Courier New"/>
          <w:sz w:val="18"/>
        </w:rPr>
        <w:t>maximum</w:t>
      </w:r>
      <w:r>
        <w:rPr/>
        <w:t xml:space="preserve">, </w:t>
      </w:r>
      <w:r>
        <w:rPr>
          <w:rFonts w:cs="Courier New" w:ascii="Courier New" w:hAnsi="Courier New"/>
          <w:sz w:val="18"/>
        </w:rPr>
        <w:t>minimum</w:t>
      </w:r>
      <w:r>
        <w:rPr/>
        <w:t xml:space="preserve"> or </w:t>
      </w:r>
      <w:r>
        <w:rPr>
          <w:rFonts w:cs="Courier New" w:ascii="Courier New" w:hAnsi="Courier New"/>
          <w:sz w:val="18"/>
        </w:rPr>
        <w:t>average</w:t>
      </w:r>
      <w:r>
        <w:rPr/>
        <w:t xml:space="preserve">, corresponding maximum, minimum and average temperature in the floorplan respectively, </w:t>
      </w:r>
    </w:p>
    <w:p>
      <w:pPr>
        <w:pStyle w:val="ListParagraph"/>
        <w:numPr>
          <w:ilvl w:val="1"/>
          <w:numId w:val="7"/>
        </w:numPr>
        <w:jc w:val="both"/>
        <w:rPr/>
      </w:pPr>
      <w:r>
        <w:rPr>
          <w:rFonts w:cs="Courier New" w:ascii="Courier New" w:hAnsi="Courier New"/>
          <w:sz w:val="18"/>
        </w:rPr>
        <w:t xml:space="preserve">INSTANCE_ID </w:t>
      </w:r>
      <w:r>
        <w:rPr/>
        <w:t xml:space="preserve">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ListParagraph"/>
        <w:ind w:left="1440" w:hanging="0"/>
        <w:jc w:val="both"/>
        <w:rPr/>
      </w:pPr>
      <w:r>
        <w:rPr/>
      </w:r>
    </w:p>
    <w:p>
      <w:pPr>
        <w:pStyle w:val="ListParagraph"/>
        <w:numPr>
          <w:ilvl w:val="0"/>
          <w:numId w:val="7"/>
        </w:numPr>
        <w:jc w:val="both"/>
        <w:rPr/>
      </w:pPr>
      <w:r>
        <w:rPr>
          <w:rFonts w:cs="Courier New" w:ascii="Courier New" w:hAnsi="Courier New"/>
          <w:sz w:val="18"/>
        </w:rPr>
        <w:t xml:space="preserve">Tflpel </w:t>
      </w:r>
      <w:r>
        <w:rPr/>
        <w:t>is an instruction to print the temperature of a particular floorplan element (the power block of the source layer of a particular die), uniquely identified by its die identifier (</w:t>
      </w:r>
      <w:r>
        <w:rPr>
          <w:rFonts w:cs="Courier New" w:ascii="Courier New" w:hAnsi="Courier New"/>
          <w:sz w:val="18"/>
        </w:rPr>
        <w:t>DD_ID</w:t>
      </w:r>
      <w:r>
        <w:rPr/>
        <w:t>) and floorplan element identifier (</w:t>
      </w:r>
      <w:r>
        <w:rPr>
          <w:rFonts w:cs="Courier New" w:ascii="Courier New" w:hAnsi="Courier New"/>
          <w:sz w:val="18"/>
        </w:rPr>
        <w:t>FLPEL_ID</w:t>
      </w:r>
      <w:r>
        <w:rPr/>
        <w:t xml:space="preserve">). The output format consists of two columns- the time instance (in sec) against the corresponding temperature value (in K). </w:t>
      </w:r>
    </w:p>
    <w:p>
      <w:pPr>
        <w:pStyle w:val="ListParagraph"/>
        <w:jc w:val="both"/>
        <w:rPr/>
      </w:pPr>
      <w:r>
        <w:rPr/>
      </w:r>
    </w:p>
    <w:p>
      <w:pPr>
        <w:pStyle w:val="ListParagraph"/>
        <w:jc w:val="both"/>
        <w:rPr>
          <w:rFonts w:ascii="Courier New" w:hAnsi="Courier New" w:cs="Courier New"/>
          <w:sz w:val="18"/>
        </w:rPr>
      </w:pPr>
      <w:r>
        <w:rPr>
          <w:rFonts w:cs="Courier New" w:ascii="Courier New" w:hAnsi="Courier New"/>
          <w:sz w:val="18"/>
        </w:rPr>
        <w:t>Tflpel( DD_ID.FLPEL_ID, "PATH", OUTTYPE_ID [, INSTANCE_ID]? ) ;</w:t>
      </w:r>
    </w:p>
    <w:p>
      <w:pPr>
        <w:pStyle w:val="ListParagraph"/>
        <w:numPr>
          <w:ilvl w:val="1"/>
          <w:numId w:val="7"/>
        </w:numPr>
        <w:jc w:val="both"/>
        <w:rPr/>
      </w:pPr>
      <w:r>
        <w:rPr>
          <w:rFonts w:cs="Courier New" w:ascii="Courier New" w:hAnsi="Courier New"/>
          <w:sz w:val="18"/>
        </w:rPr>
        <w:t>DD_ID.FLPEL_ID</w:t>
      </w:r>
      <w:r>
        <w:rPr/>
        <w:t xml:space="preserve"> contains the die and the floorplan element identifier (see Section 6.B) which can uniquely identify a floorplan element in the entire stack, </w:t>
      </w:r>
    </w:p>
    <w:p>
      <w:pPr>
        <w:pStyle w:val="ListParagraph"/>
        <w:numPr>
          <w:ilvl w:val="1"/>
          <w:numId w:val="7"/>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7"/>
        </w:numPr>
        <w:jc w:val="both"/>
        <w:rPr/>
      </w:pPr>
      <w:r>
        <w:rPr>
          <w:rFonts w:cs="Courier New" w:ascii="Courier New" w:hAnsi="Courier New"/>
          <w:sz w:val="18"/>
        </w:rPr>
        <w:t>OUTTYPE_ID</w:t>
      </w:r>
      <w:r>
        <w:rPr/>
        <w:t xml:space="preserve"> specifies the exact nature of the temperature to be reported, and can assume the values </w:t>
      </w:r>
      <w:r>
        <w:rPr>
          <w:rFonts w:cs="Courier New" w:ascii="Courier New" w:hAnsi="Courier New"/>
          <w:sz w:val="18"/>
        </w:rPr>
        <w:t>maximum</w:t>
      </w:r>
      <w:r>
        <w:rPr/>
        <w:t xml:space="preserve">, </w:t>
      </w:r>
      <w:r>
        <w:rPr>
          <w:rFonts w:cs="Courier New" w:ascii="Courier New" w:hAnsi="Courier New"/>
          <w:sz w:val="18"/>
        </w:rPr>
        <w:t>minimum</w:t>
      </w:r>
      <w:r>
        <w:rPr/>
        <w:t xml:space="preserve"> or </w:t>
      </w:r>
      <w:r>
        <w:rPr>
          <w:rFonts w:cs="Courier New" w:ascii="Courier New" w:hAnsi="Courier New"/>
          <w:sz w:val="18"/>
        </w:rPr>
        <w:t>average</w:t>
      </w:r>
      <w:r>
        <w:rPr/>
        <w:t xml:space="preserve">, corresponding maximum, minimum and average temperature in the floorplan element area respectively, </w:t>
      </w:r>
    </w:p>
    <w:p>
      <w:pPr>
        <w:pStyle w:val="ListParagraph"/>
        <w:numPr>
          <w:ilvl w:val="1"/>
          <w:numId w:val="7"/>
        </w:numPr>
        <w:jc w:val="both"/>
        <w:rPr/>
      </w:pPr>
      <w:r>
        <w:rPr>
          <w:rFonts w:cs="Courier New" w:ascii="Courier New" w:hAnsi="Courier New"/>
          <w:sz w:val="18"/>
        </w:rPr>
        <w:t>INSTANCE_ID</w:t>
      </w:r>
      <w:r>
        <w:rPr/>
        <w:t xml:space="preserve"> 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ListParagraph"/>
        <w:numPr>
          <w:ilvl w:val="0"/>
          <w:numId w:val="7"/>
        </w:numPr>
        <w:jc w:val="both"/>
        <w:rPr/>
      </w:pPr>
      <w:r>
        <w:rPr>
          <w:rFonts w:cs="Courier New" w:ascii="Courier New" w:hAnsi="Courier New"/>
          <w:sz w:val="18"/>
        </w:rPr>
        <w:t xml:space="preserve">Tmap </w:t>
      </w:r>
      <w:r>
        <w:rPr/>
        <w:t xml:space="preserve">is an instruction to print the temperature map of a particular layer in the stack, identified by its identifier. The output is printed in a matrix format in a text file, with each line representing a row of thermal cells in the thermal grid (counted in “y” direction), and every temperature value (in K) in each line corresponding to a thermal cell (columns, counted in the “x” direction). Once the temperature map at a given time point is printed in this format, the temperature map at the next time point requested is printed from the next line in the same format. Hence, the total number of lines in the file is the product of the number of rows in the thermal grid and the number of instances the output is printed. In addition, whenever the instruction </w:t>
      </w:r>
      <w:r>
        <w:rPr>
          <w:rFonts w:cs="Courier New" w:ascii="Courier New" w:hAnsi="Courier New"/>
          <w:sz w:val="18"/>
        </w:rPr>
        <w:t>Tmap</w:t>
      </w:r>
      <w:r>
        <w:rPr/>
        <w:t xml:space="preserve"> is used in a project, two other files, named </w:t>
      </w:r>
      <w:r>
        <w:rPr>
          <w:rFonts w:cs="Courier New" w:ascii="Courier New" w:hAnsi="Courier New"/>
          <w:sz w:val="18"/>
        </w:rPr>
        <w:t>“x_axis.txt”</w:t>
      </w:r>
      <w:r>
        <w:rPr/>
        <w:t xml:space="preserve"> and </w:t>
      </w:r>
      <w:r>
        <w:rPr>
          <w:rFonts w:cs="Courier New" w:ascii="Courier New" w:hAnsi="Courier New"/>
          <w:sz w:val="18"/>
        </w:rPr>
        <w:t>“y_axis.txt”</w:t>
      </w:r>
      <w:r>
        <w:rPr/>
        <w:t xml:space="preserve"> are printed which consist of the indices of the columns and rows (in μm), respectively, for these temperature maps. They can be used to visualize the data in the text files with the help of applications supporting graphical outputs such as Matlab. </w:t>
      </w:r>
    </w:p>
    <w:p>
      <w:pPr>
        <w:pStyle w:val="ListParagraph"/>
        <w:jc w:val="both"/>
        <w:rPr/>
      </w:pPr>
      <w:r>
        <w:rPr/>
      </w:r>
    </w:p>
    <w:p>
      <w:pPr>
        <w:pStyle w:val="ListParagraph"/>
        <w:jc w:val="both"/>
        <w:rPr/>
      </w:pPr>
      <w:r>
        <w:rPr>
          <w:rFonts w:cs="Courier New" w:ascii="Courier New" w:hAnsi="Courier New"/>
          <w:sz w:val="18"/>
        </w:rPr>
        <w:t>Tmap( VER_ID, "PATH" [, INSTANCE_ID]? ) ;</w:t>
      </w:r>
    </w:p>
    <w:p>
      <w:pPr>
        <w:pStyle w:val="ListParagraph"/>
        <w:numPr>
          <w:ilvl w:val="1"/>
          <w:numId w:val="7"/>
        </w:numPr>
        <w:jc w:val="both"/>
        <w:rPr/>
      </w:pPr>
      <w:r>
        <w:rPr>
          <w:rFonts w:cs="Courier New" w:ascii="Courier New" w:hAnsi="Courier New"/>
          <w:sz w:val="18"/>
        </w:rPr>
        <w:t>VER_ID</w:t>
      </w:r>
      <w:r>
        <w:rPr/>
        <w:t xml:space="preserve"> identifies the layer for which the temperature map must be printed. This can assume a value of </w:t>
      </w:r>
      <w:r>
        <w:rPr>
          <w:rFonts w:cs="Courier New" w:ascii="Courier New" w:hAnsi="Courier New"/>
          <w:sz w:val="18"/>
        </w:rPr>
        <w:t>LL_ID</w:t>
      </w:r>
      <w:r>
        <w:rPr/>
        <w:t xml:space="preserve">, </w:t>
      </w:r>
      <w:r>
        <w:rPr>
          <w:rFonts w:cs="Courier New" w:ascii="Courier New" w:hAnsi="Courier New"/>
          <w:sz w:val="18"/>
        </w:rPr>
        <w:t>DD_ID</w:t>
      </w:r>
      <w:r>
        <w:rPr/>
        <w:t xml:space="preserve"> or a </w:t>
      </w:r>
      <w:r>
        <w:rPr>
          <w:rFonts w:cs="Courier New" w:ascii="Courier New" w:hAnsi="Courier New"/>
          <w:sz w:val="18"/>
        </w:rPr>
        <w:t>CC_ID</w:t>
      </w:r>
      <w:r>
        <w:rPr/>
        <w:t xml:space="preserve"> (see Section 6.A.v). If a die (</w:t>
      </w:r>
      <w:r>
        <w:rPr>
          <w:rFonts w:cs="Courier New" w:ascii="Courier New" w:hAnsi="Courier New"/>
          <w:sz w:val="18"/>
        </w:rPr>
        <w:t>DD_ID</w:t>
      </w:r>
      <w:r>
        <w:rPr/>
        <w:t xml:space="preserve">) is specified, then the source layer of that die is used, </w:t>
      </w:r>
    </w:p>
    <w:p>
      <w:pPr>
        <w:pStyle w:val="ListParagraph"/>
        <w:numPr>
          <w:ilvl w:val="1"/>
          <w:numId w:val="7"/>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7"/>
        </w:numPr>
        <w:jc w:val="both"/>
        <w:rPr/>
      </w:pPr>
      <w:r>
        <w:rPr>
          <w:rFonts w:cs="Courier New" w:ascii="Courier New" w:hAnsi="Courier New"/>
          <w:sz w:val="18"/>
        </w:rPr>
        <w:t>INSTANCE_ID</w:t>
      </w:r>
      <w:r>
        <w:rPr/>
        <w:t xml:space="preserve"> 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ListParagraph"/>
        <w:numPr>
          <w:ilvl w:val="0"/>
          <w:numId w:val="7"/>
        </w:numPr>
        <w:jc w:val="both"/>
        <w:rPr/>
      </w:pPr>
      <w:r>
        <w:rPr>
          <w:rFonts w:cs="Courier New" w:ascii="Courier New" w:hAnsi="Courier New"/>
          <w:sz w:val="18"/>
        </w:rPr>
        <w:t xml:space="preserve">Pmap </w:t>
      </w:r>
      <w:r>
        <w:rPr/>
        <w:t xml:space="preserve">is an instruction to print the power map of a particular die in the stack, identified by its identifier. The output is printed with the same criteria implemented to print a temperature map. </w:t>
      </w:r>
    </w:p>
    <w:p>
      <w:pPr>
        <w:pStyle w:val="ListParagraph"/>
        <w:jc w:val="both"/>
        <w:rPr>
          <w:rFonts w:ascii="Courier New" w:hAnsi="Courier New" w:cs="Courier New"/>
          <w:sz w:val="18"/>
        </w:rPr>
      </w:pPr>
      <w:r>
        <w:rPr>
          <w:rFonts w:cs="Courier New" w:ascii="Courier New" w:hAnsi="Courier New"/>
          <w:sz w:val="18"/>
        </w:rPr>
      </w:r>
    </w:p>
    <w:p>
      <w:pPr>
        <w:pStyle w:val="ListParagraph"/>
        <w:jc w:val="both"/>
        <w:rPr/>
      </w:pPr>
      <w:r>
        <w:rPr>
          <w:rFonts w:cs="Courier New" w:ascii="Courier New" w:hAnsi="Courier New"/>
          <w:sz w:val="18"/>
        </w:rPr>
        <w:t>Pmap(DD_ID, "PATH" [, INSTANCE_ID]? ) ;</w:t>
      </w:r>
    </w:p>
    <w:p>
      <w:pPr>
        <w:pStyle w:val="ListParagraph"/>
        <w:numPr>
          <w:ilvl w:val="1"/>
          <w:numId w:val="30"/>
        </w:numPr>
        <w:jc w:val="both"/>
        <w:rPr/>
      </w:pPr>
      <w:r>
        <w:rPr>
          <w:rFonts w:cs="Courier New" w:ascii="Courier New" w:hAnsi="Courier New"/>
          <w:sz w:val="18"/>
        </w:rPr>
        <w:t>DD_ID</w:t>
      </w:r>
      <w:r>
        <w:rPr/>
        <w:t xml:space="preserve"> identifies the die for which the power map must be printed. </w:t>
      </w:r>
    </w:p>
    <w:p>
      <w:pPr>
        <w:pStyle w:val="ListParagraph"/>
        <w:numPr>
          <w:ilvl w:val="1"/>
          <w:numId w:val="30"/>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30"/>
        </w:numPr>
        <w:jc w:val="both"/>
        <w:rPr/>
      </w:pPr>
      <w:r>
        <w:rPr>
          <w:rFonts w:cs="Courier New" w:ascii="Courier New" w:hAnsi="Courier New"/>
          <w:sz w:val="18"/>
        </w:rPr>
        <w:t>INSTANCE_ID</w:t>
      </w:r>
      <w:r>
        <w:rPr/>
        <w:t xml:space="preserve"> 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ListParagraph"/>
        <w:numPr>
          <w:ilvl w:val="0"/>
          <w:numId w:val="7"/>
        </w:numPr>
        <w:jc w:val="both"/>
        <w:rPr/>
      </w:pPr>
      <w:r>
        <w:rPr>
          <w:rFonts w:cs="Courier New" w:ascii="Courier New" w:hAnsi="Courier New"/>
          <w:sz w:val="18"/>
        </w:rPr>
        <w:t xml:space="preserve">Tcoolant </w:t>
      </w:r>
      <w:r>
        <w:rPr/>
        <w:t>is an instruction to print the temperature of the coolant at the outlet of a cavity identified by its channel identifier (</w:t>
      </w:r>
      <w:r>
        <w:rPr>
          <w:rFonts w:cs="Courier New" w:ascii="Courier New" w:hAnsi="Courier New"/>
          <w:sz w:val="18"/>
        </w:rPr>
        <w:t>CC_ID</w:t>
      </w:r>
      <w:r>
        <w:rPr/>
        <w:t>). The output format consists of two columns- the time instance (in sec) against the corresponding temperature value (in K).</w:t>
      </w:r>
    </w:p>
    <w:p>
      <w:pPr>
        <w:pStyle w:val="ListParagraph"/>
        <w:jc w:val="both"/>
        <w:rPr/>
      </w:pPr>
      <w:r>
        <w:rPr/>
      </w:r>
    </w:p>
    <w:p>
      <w:pPr>
        <w:pStyle w:val="ListParagraph"/>
        <w:jc w:val="both"/>
        <w:rPr/>
      </w:pPr>
      <w:r>
        <w:rPr>
          <w:rFonts w:cs="Courier New" w:ascii="Courier New" w:hAnsi="Courier New"/>
          <w:sz w:val="18"/>
        </w:rPr>
        <w:t>Tcoolant( CC_ID, "PATH", OUTTYPE_ID [, INTANCE_ID]? ) ;</w:t>
      </w:r>
    </w:p>
    <w:p>
      <w:pPr>
        <w:pStyle w:val="ListParagraph"/>
        <w:numPr>
          <w:ilvl w:val="1"/>
          <w:numId w:val="7"/>
        </w:numPr>
        <w:jc w:val="both"/>
        <w:rPr/>
      </w:pPr>
      <w:r>
        <w:rPr>
          <w:rFonts w:cs="Courier New" w:ascii="Courier New" w:hAnsi="Courier New"/>
          <w:sz w:val="18"/>
        </w:rPr>
        <w:t>CC_ID</w:t>
      </w:r>
      <w:r>
        <w:rPr/>
        <w:t xml:space="preserve"> is the identifier of the cavity whose outlet temperature must be printed, </w:t>
      </w:r>
    </w:p>
    <w:p>
      <w:pPr>
        <w:pStyle w:val="ListParagraph"/>
        <w:numPr>
          <w:ilvl w:val="1"/>
          <w:numId w:val="7"/>
        </w:numPr>
        <w:jc w:val="both"/>
        <w:rPr/>
      </w:pPr>
      <w:r>
        <w:rPr>
          <w:rFonts w:cs="Courier New" w:ascii="Courier New" w:hAnsi="Courier New"/>
          <w:sz w:val="18"/>
        </w:rPr>
        <w:t>PATH</w:t>
      </w:r>
      <w:r>
        <w:rPr/>
        <w:t xml:space="preserve"> is the path of the text file in which the output must be written, </w:t>
      </w:r>
    </w:p>
    <w:p>
      <w:pPr>
        <w:pStyle w:val="ListParagraph"/>
        <w:numPr>
          <w:ilvl w:val="1"/>
          <w:numId w:val="7"/>
        </w:numPr>
        <w:jc w:val="both"/>
        <w:rPr/>
      </w:pPr>
      <w:r>
        <w:rPr>
          <w:rFonts w:cs="Courier New" w:ascii="Courier New" w:hAnsi="Courier New"/>
          <w:sz w:val="18"/>
        </w:rPr>
        <w:t>OUTTYPE_ID</w:t>
      </w:r>
      <w:r>
        <w:rPr/>
        <w:t xml:space="preserve"> specifies the exact nature of the temperature to be reported, and can assume the values </w:t>
      </w:r>
      <w:r>
        <w:rPr>
          <w:rFonts w:cs="Courier New" w:ascii="Courier New" w:hAnsi="Courier New"/>
          <w:sz w:val="18"/>
        </w:rPr>
        <w:t>maximum</w:t>
      </w:r>
      <w:r>
        <w:rPr/>
        <w:t xml:space="preserve">, </w:t>
      </w:r>
      <w:r>
        <w:rPr>
          <w:rFonts w:cs="Courier New" w:ascii="Courier New" w:hAnsi="Courier New"/>
          <w:sz w:val="18"/>
        </w:rPr>
        <w:t>minimum</w:t>
      </w:r>
      <w:r>
        <w:rPr/>
        <w:t xml:space="preserve"> or </w:t>
      </w:r>
      <w:r>
        <w:rPr>
          <w:rFonts w:cs="Courier New" w:ascii="Courier New" w:hAnsi="Courier New"/>
          <w:sz w:val="18"/>
        </w:rPr>
        <w:t>average</w:t>
      </w:r>
      <w:r>
        <w:rPr/>
        <w:t xml:space="preserve">, corresponding maximum, minimum and average outlet temperature respectively, </w:t>
      </w:r>
    </w:p>
    <w:p>
      <w:pPr>
        <w:pStyle w:val="ListParagraph"/>
        <w:numPr>
          <w:ilvl w:val="1"/>
          <w:numId w:val="7"/>
        </w:numPr>
        <w:jc w:val="both"/>
        <w:rPr/>
      </w:pPr>
      <w:r>
        <w:rPr>
          <w:rFonts w:cs="Courier New" w:ascii="Courier New" w:hAnsi="Courier New"/>
          <w:sz w:val="18"/>
        </w:rPr>
        <w:t>INSTANCE_ID</w:t>
      </w:r>
      <w:r>
        <w:rPr/>
        <w:t xml:space="preserve"> is an optional parameter that can assume a value of </w:t>
      </w:r>
      <w:r>
        <w:rPr>
          <w:rFonts w:cs="Courier New" w:ascii="Courier New" w:hAnsi="Courier New"/>
          <w:sz w:val="18"/>
        </w:rPr>
        <w:t>step</w:t>
      </w:r>
      <w:r>
        <w:rPr/>
        <w:t xml:space="preserve">, </w:t>
      </w:r>
      <w:r>
        <w:rPr>
          <w:rFonts w:cs="Courier New" w:ascii="Courier New" w:hAnsi="Courier New"/>
          <w:sz w:val="18"/>
        </w:rPr>
        <w:t>slot</w:t>
      </w:r>
      <w:r>
        <w:rPr/>
        <w:t xml:space="preserve"> or </w:t>
      </w:r>
      <w:r>
        <w:rPr>
          <w:rFonts w:cs="Courier New" w:ascii="Courier New" w:hAnsi="Courier New"/>
          <w:sz w:val="18"/>
        </w:rPr>
        <w:t>final</w:t>
      </w:r>
      <w:r>
        <w:rPr/>
        <w:t xml:space="preserve"> and specifies the frequency in which the output must be reported- at the end of each internal time step, at the end of each time slot, or only at the end of the simulation respectively. Note that in the case of steady state simulation, only those instructions that have the option </w:t>
      </w:r>
      <w:r>
        <w:rPr>
          <w:rFonts w:cs="Courier New" w:ascii="Courier New" w:hAnsi="Courier New"/>
          <w:sz w:val="18"/>
        </w:rPr>
        <w:t>final</w:t>
      </w:r>
      <w:r>
        <w:rPr/>
        <w:t xml:space="preserve"> are executed. When no parameter is specified, </w:t>
      </w:r>
      <w:r>
        <w:rPr>
          <w:rFonts w:cs="Courier New" w:ascii="Courier New" w:hAnsi="Courier New"/>
          <w:sz w:val="18"/>
        </w:rPr>
        <w:t>final</w:t>
      </w:r>
      <w:r>
        <w:rPr/>
        <w:t xml:space="preserve"> is assumed. </w:t>
      </w:r>
    </w:p>
    <w:p>
      <w:pPr>
        <w:pStyle w:val="Normal"/>
        <w:jc w:val="both"/>
        <w:rPr/>
      </w:pPr>
      <w:r>
        <w:rPr/>
      </w:r>
    </w:p>
    <w:p>
      <w:pPr>
        <w:pStyle w:val="Normal"/>
        <w:jc w:val="both"/>
        <w:rPr/>
      </w:pPr>
      <w:r>
        <w:rPr/>
      </w:r>
    </w:p>
    <w:p>
      <w:pPr>
        <w:pStyle w:val="Heading2"/>
        <w:rPr/>
      </w:pPr>
      <w:bookmarkStart w:id="98" w:name="__RefHeading___Toc2987_2393532176"/>
      <w:bookmarkStart w:id="99" w:name="_Toc442446454"/>
      <w:bookmarkEnd w:id="98"/>
      <w:bookmarkEnd w:id="99"/>
      <w:r>
        <w:rPr/>
        <w:t>Examples</w:t>
      </w:r>
    </w:p>
    <w:p>
      <w:pPr>
        <w:pStyle w:val="Normal"/>
        <w:jc w:val="both"/>
        <w:rPr/>
      </w:pPr>
      <w:r>
        <w:rPr/>
        <w:t>Two example stack descriptor files, one steady state and one transient, based on the above discussions are shown below.</w:t>
      </w:r>
    </w:p>
    <w:tbl>
      <w:tblPr>
        <w:tblStyle w:val="Tabellenraster"/>
        <w:tblW w:w="960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9606"/>
      </w:tblGrid>
      <w:tr>
        <w:trPr/>
        <w:tc>
          <w:tcPr>
            <w:tcW w:w="9606" w:type="dxa"/>
            <w:tcBorders>
              <w:bottom w:val="nil"/>
              <w:right w:val="nil"/>
            </w:tcBorders>
            <w:shd w:fill="auto" w:val="clear"/>
            <w:vAlign w:val="center"/>
          </w:tcPr>
          <w:p>
            <w:pPr>
              <w:pStyle w:val="Normal"/>
              <w:widowControl w:val="false"/>
              <w:spacing w:lineRule="auto" w:line="240" w:before="0" w:after="0"/>
              <w:jc w:val="both"/>
              <w:rPr>
                <w:b/>
                <w:b/>
              </w:rPr>
            </w:pPr>
            <w:r>
              <w:rPr>
                <w:b/>
                <w:sz w:val="20"/>
              </w:rPr>
              <w:t>Example (steady state)</w:t>
            </w:r>
          </w:p>
        </w:tc>
      </w:tr>
      <w:tr>
        <w:trPr/>
        <w:tc>
          <w:tcPr>
            <w:tcW w:w="9606"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1.30e-4;</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1.628e-12;</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2.25e-6;</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2.175e-12;</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pPr>
            <w:r>
              <w:rPr>
                <w:rFonts w:cs="Courier New" w:ascii="Courier New" w:hAnsi="Courier New"/>
                <w:sz w:val="18"/>
              </w:rPr>
              <w:t>top heat sink:</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heat transfer coefficient 1.0e-7;</w:t>
            </w:r>
          </w:p>
          <w:p>
            <w:pPr>
              <w:pStyle w:val="Normal"/>
              <w:widowControl w:val="false"/>
              <w:spacing w:lineRule="auto" w:line="240" w:before="0" w:after="0"/>
              <w:ind w:left="720" w:hanging="0"/>
              <w:jc w:val="left"/>
              <w:rPr/>
            </w:pPr>
            <w:r>
              <w:rPr>
                <w:rFonts w:cs="Courier New" w:ascii="Courier New" w:hAnsi="Courier New"/>
                <w:sz w:val="18"/>
              </w:rPr>
              <w:t>temperature 300;</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microchannel4rm:</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channel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length50;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first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material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flow rate 42;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heat transfer coefficient top 5.7132e-8,</w:t>
            </w:r>
          </w:p>
          <w:p>
            <w:pPr>
              <w:pStyle w:val="Normal"/>
              <w:widowControl w:val="false"/>
              <w:spacing w:lineRule="auto" w:line="240" w:before="0" w:after="0"/>
              <w:ind w:left="2160" w:hanging="0"/>
              <w:jc w:val="left"/>
              <w:rPr>
                <w:rFonts w:ascii="Courier New" w:hAnsi="Courier New" w:cs="Courier New"/>
                <w:sz w:val="18"/>
              </w:rPr>
            </w:pPr>
            <w:r>
              <w:rPr>
                <w:rFonts w:cs="Courier New" w:ascii="Courier New" w:hAnsi="Courier New"/>
                <w:sz w:val="18"/>
              </w:rPr>
              <w:t>bottom 4.7132e-8;</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capacity4.172e-12;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incoming temperature300;</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layer PCB:</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height 10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TOP_IC: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BOTTOM_IC: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10 BEOL;</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50 SILICON;</w:t>
            </w:r>
          </w:p>
        </w:tc>
      </w:tr>
      <w:tr>
        <w:trPr/>
        <w:tc>
          <w:tcPr>
            <w:tcW w:w="9606"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dimension :</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chip length 10000, width 10000;</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cell length 50, width 50;</w:t>
            </w:r>
          </w:p>
          <w:p>
            <w:pPr>
              <w:pStyle w:val="Normal"/>
              <w:widowControl w:val="false"/>
              <w:spacing w:lineRule="auto" w:line="240" w:before="0" w:after="0"/>
              <w:ind w:left="144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stack:</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MEMORY_DIE     TOP_IC    floorplan"./mem.flp";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TOP_CHANNEL;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CORE_DIE       BOTTOM_IC floorplan"./core.flp";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BOTTOM_CHANNEL;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layer   BOTTOM_MOST    PCB ;</w:t>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18"/>
              </w:rPr>
              <w:t>solver:</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steady ;</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initial temperature 300.0 ;</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18"/>
              </w:rPr>
              <w:t>output:</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T( MEMORY_DIE, 5000, 3000, "output1.txt",final);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Tmap( CORE_DIE, "output2.txt",  final );</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Pmap( CORE_DIE, "output3.txt",  final );</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Tflpel(CORE_DIE.core1, "output4.txt", average);</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Tcoolant(TOP_CHANNEL, "output5.txt", maximum);</w:t>
            </w:r>
          </w:p>
        </w:tc>
      </w:tr>
      <w:tr>
        <w:trPr/>
        <w:tc>
          <w:tcPr>
            <w:tcW w:w="9606" w:type="dxa"/>
            <w:tcBorders>
              <w:top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tc>
      </w:tr>
    </w:tbl>
    <w:p>
      <w:pPr>
        <w:pStyle w:val="Normal"/>
        <w:rPr/>
      </w:pPr>
      <w:r>
        <w:rPr/>
      </w:r>
    </w:p>
    <w:tbl>
      <w:tblPr>
        <w:tblStyle w:val="Tabellenraster"/>
        <w:tblW w:w="960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9606"/>
      </w:tblGrid>
      <w:tr>
        <w:trPr/>
        <w:tc>
          <w:tcPr>
            <w:tcW w:w="9606" w:type="dxa"/>
            <w:tcBorders>
              <w:bottom w:val="nil"/>
              <w:right w:val="nil"/>
            </w:tcBorders>
            <w:shd w:fill="auto" w:val="clear"/>
            <w:vAlign w:val="center"/>
          </w:tcPr>
          <w:p>
            <w:pPr>
              <w:pStyle w:val="Normal"/>
              <w:widowControl w:val="false"/>
              <w:spacing w:lineRule="auto" w:line="240" w:before="0" w:after="0"/>
              <w:jc w:val="both"/>
              <w:rPr>
                <w:b/>
                <w:b/>
              </w:rPr>
            </w:pPr>
            <w:r>
              <w:rPr>
                <w:b/>
                <w:sz w:val="20"/>
              </w:rPr>
              <w:t>Example (transient)</w:t>
            </w:r>
          </w:p>
        </w:tc>
      </w:tr>
      <w:tr>
        <w:trPr/>
        <w:tc>
          <w:tcPr>
            <w:tcW w:w="9606"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SILICON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1.30e-4;</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1.628e-12;</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thermal conductivity     2.25e-6;</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volumetric heat capacity 2.175e-12;</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top heat sink:</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heat transfer coefficient 1.0e-7;</w:t>
            </w:r>
          </w:p>
          <w:p>
            <w:pPr>
              <w:pStyle w:val="Normal"/>
              <w:widowControl w:val="false"/>
              <w:spacing w:lineRule="auto" w:line="240" w:before="0" w:after="0"/>
              <w:ind w:left="720" w:hanging="0"/>
              <w:jc w:val="left"/>
              <w:rPr/>
            </w:pPr>
            <w:r>
              <w:rPr>
                <w:rFonts w:cs="Courier New" w:ascii="Courier New" w:hAnsi="Courier New"/>
                <w:sz w:val="18"/>
              </w:rPr>
              <w:t>temperature 300;</w:t>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microchannel4rm:</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height 100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channel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length 50;</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first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last  wall length 25;</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wall material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flow rate 42;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heat transfer coefficient top 5.7132e-8,</w:t>
            </w:r>
          </w:p>
          <w:p>
            <w:pPr>
              <w:pStyle w:val="Normal"/>
              <w:widowControl w:val="false"/>
              <w:spacing w:lineRule="auto" w:line="240" w:before="0" w:after="0"/>
              <w:ind w:left="2160" w:hanging="0"/>
              <w:jc w:val="left"/>
              <w:rPr>
                <w:rFonts w:ascii="Courier New" w:hAnsi="Courier New" w:cs="Courier New"/>
                <w:sz w:val="18"/>
              </w:rPr>
            </w:pPr>
            <w:r>
              <w:rPr>
                <w:rFonts w:cs="Courier New" w:ascii="Courier New" w:hAnsi="Courier New"/>
                <w:sz w:val="18"/>
              </w:rPr>
              <w:t>bottom 4.7132e-8;</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volumetric heat capacity 4.172e-12;</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coolant incoming temperature 300;</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layer PCB:</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height 10 ;</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material BEOL ;</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TOP_IC: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left"/>
              <w:rPr>
                <w:rFonts w:ascii="Courier New" w:hAnsi="Courier New" w:cs="Courier New"/>
                <w:sz w:val="18"/>
              </w:rPr>
            </w:pPr>
            <w:r>
              <w:rPr>
                <w:rFonts w:cs="Courier New" w:ascii="Courier New" w:hAnsi="Courier New"/>
                <w:sz w:val="18"/>
              </w:rPr>
              <w:t>layer 50 SILICON;</w:t>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die BOTTOM_IC:</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10 BEOL;</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source 2 SILICON;</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layer 50 SILICON;</w:t>
            </w:r>
          </w:p>
        </w:tc>
      </w:tr>
      <w:tr>
        <w:trPr/>
        <w:tc>
          <w:tcPr>
            <w:tcW w:w="9606" w:type="dxa"/>
            <w:tcBorders>
              <w:top w:val="nil"/>
              <w:bottom w:val="nil"/>
              <w:right w:val="nil"/>
            </w:tcBorders>
            <w:shd w:fill="auto" w:val="clear"/>
            <w:vAlign w:val="center"/>
          </w:tcPr>
          <w:p>
            <w:pPr>
              <w:pStyle w:val="Normal"/>
              <w:widowControl w:val="false"/>
              <w:spacing w:lineRule="auto" w:line="240" w:before="0" w:after="0"/>
              <w:jc w:val="both"/>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both"/>
              <w:rPr>
                <w:rFonts w:ascii="Courier New" w:hAnsi="Courier New" w:cs="Courier New"/>
                <w:sz w:val="18"/>
              </w:rPr>
            </w:pPr>
            <w:r>
              <w:rPr>
                <w:rFonts w:cs="Courier New" w:ascii="Courier New" w:hAnsi="Courier New"/>
                <w:sz w:val="18"/>
              </w:rPr>
              <w:t>dimension :</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chip length 10000, width 10000;</w:t>
            </w:r>
          </w:p>
          <w:p>
            <w:pPr>
              <w:pStyle w:val="Normal"/>
              <w:widowControl w:val="false"/>
              <w:spacing w:lineRule="auto" w:line="240" w:before="0" w:after="0"/>
              <w:ind w:left="720" w:hanging="0"/>
              <w:jc w:val="both"/>
              <w:rPr>
                <w:rFonts w:ascii="Courier New" w:hAnsi="Courier New" w:cs="Courier New"/>
                <w:sz w:val="18"/>
              </w:rPr>
            </w:pPr>
            <w:r>
              <w:rPr>
                <w:rFonts w:cs="Courier New" w:ascii="Courier New" w:hAnsi="Courier New"/>
                <w:sz w:val="18"/>
              </w:rPr>
              <w:t>cell length 50, width 50;</w:t>
            </w:r>
          </w:p>
          <w:p>
            <w:pPr>
              <w:pStyle w:val="Normal"/>
              <w:widowControl w:val="false"/>
              <w:spacing w:lineRule="auto" w:line="240" w:before="0" w:after="0"/>
              <w:ind w:left="1440" w:hanging="0"/>
              <w:jc w:val="left"/>
              <w:rPr>
                <w:rFonts w:ascii="Courier New" w:hAnsi="Courier New" w:cs="Courier New"/>
                <w:sz w:val="18"/>
              </w:rPr>
            </w:pPr>
            <w:r>
              <w:rPr>
                <w:rFonts w:cs="Courier New" w:ascii="Courier New" w:hAnsi="Courier New"/>
                <w:sz w:val="20"/>
              </w:rPr>
            </w:r>
          </w:p>
          <w:p>
            <w:pPr>
              <w:pStyle w:val="Normal"/>
              <w:widowControl w:val="false"/>
              <w:spacing w:lineRule="auto" w:line="240" w:before="0" w:after="0"/>
              <w:jc w:val="left"/>
              <w:rPr>
                <w:rFonts w:ascii="Courier New" w:hAnsi="Courier New" w:cs="Courier New"/>
                <w:sz w:val="18"/>
              </w:rPr>
            </w:pPr>
            <w:r>
              <w:rPr>
                <w:rFonts w:cs="Courier New" w:ascii="Courier New" w:hAnsi="Courier New"/>
                <w:sz w:val="18"/>
              </w:rPr>
              <w:t>stack:</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MEMORY_DIE     TOP_IC    floorplan “./mem.flp”;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TOP_CHANNEL;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die     CORE_DIE       BOTTOM_IC floorplan “./core.flp”;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channel BOTTOM_CHANNEL;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layer   BOTTOM_MOST    PCB ;</w:t>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20"/>
              </w:rPr>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18"/>
              </w:rPr>
              <w:t>solver:</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transient step 0.02, slot 0.2 ;</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initial temperature 300.0 ;</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20"/>
              </w:rPr>
            </w:r>
          </w:p>
          <w:p>
            <w:pPr>
              <w:pStyle w:val="Normal"/>
              <w:widowControl w:val="false"/>
              <w:tabs>
                <w:tab w:val="clear" w:pos="720"/>
                <w:tab w:val="left" w:pos="1700" w:leader="none"/>
              </w:tabs>
              <w:spacing w:lineRule="auto" w:line="240" w:before="0" w:after="0"/>
              <w:jc w:val="left"/>
              <w:rPr>
                <w:rFonts w:ascii="Courier New" w:hAnsi="Courier New" w:cs="Courier New"/>
                <w:sz w:val="18"/>
              </w:rPr>
            </w:pPr>
            <w:r>
              <w:rPr>
                <w:rFonts w:cs="Courier New" w:ascii="Courier New" w:hAnsi="Courier New"/>
                <w:sz w:val="18"/>
              </w:rPr>
              <w:t>output:</w:t>
            </w:r>
          </w:p>
          <w:p>
            <w:pPr>
              <w:pStyle w:val="Normal"/>
              <w:widowControl w:val="false"/>
              <w:tabs>
                <w:tab w:val="clear" w:pos="720"/>
                <w:tab w:val="left" w:pos="1700" w:leader="none"/>
              </w:tabs>
              <w:spacing w:lineRule="auto" w:line="240" w:before="0" w:after="0"/>
              <w:ind w:left="720" w:hanging="0"/>
              <w:jc w:val="left"/>
              <w:rPr>
                <w:rFonts w:ascii="Courier New" w:hAnsi="Courier New" w:cs="Courier New"/>
                <w:sz w:val="18"/>
              </w:rPr>
            </w:pPr>
            <w:r>
              <w:rPr>
                <w:rFonts w:cs="Courier New" w:ascii="Courier New" w:hAnsi="Courier New"/>
                <w:sz w:val="18"/>
              </w:rPr>
              <w:t>T( MEMORY_DIE, 5000, 3000, "output1.txt",step);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Tmap( CORE_DIE, "output2.txt",  slot );</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Pmap( CORE_DIE, "output3.txt",  slot );</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Tflp( MEMORY_DIE, "output4.txt", minimum, step);</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Tflpel(CORE_DIE.core1, "output5.txt", average, final);</w:t>
            </w:r>
          </w:p>
          <w:p>
            <w:pPr>
              <w:pStyle w:val="Normal"/>
              <w:widowControl w:val="false"/>
              <w:tabs>
                <w:tab w:val="clear" w:pos="720"/>
                <w:tab w:val="left" w:pos="1703" w:leader="none"/>
              </w:tabs>
              <w:spacing w:lineRule="auto" w:line="240" w:before="0" w:after="0"/>
              <w:ind w:left="720" w:hanging="0"/>
              <w:jc w:val="left"/>
              <w:rPr>
                <w:rFonts w:ascii="Courier New" w:hAnsi="Courier New" w:cs="Courier New"/>
                <w:sz w:val="18"/>
              </w:rPr>
            </w:pPr>
            <w:r>
              <w:rPr>
                <w:rFonts w:cs="Courier New" w:ascii="Courier New" w:hAnsi="Courier New"/>
                <w:sz w:val="18"/>
              </w:rPr>
              <w:t>Tcoolant(TOP_CHANNEL, "output6.txt", maximum);</w:t>
            </w:r>
          </w:p>
        </w:tc>
      </w:tr>
      <w:tr>
        <w:trPr/>
        <w:tc>
          <w:tcPr>
            <w:tcW w:w="9606" w:type="dxa"/>
            <w:tcBorders>
              <w:top w:val="nil"/>
              <w:right w:val="nil"/>
            </w:tcBorders>
            <w:shd w:fill="auto" w:val="clear"/>
            <w:vAlign w:val="center"/>
          </w:tcPr>
          <w:p>
            <w:pPr>
              <w:pStyle w:val="Normal"/>
              <w:widowControl w:val="false"/>
              <w:spacing w:lineRule="auto" w:line="240" w:before="0" w:after="0"/>
              <w:jc w:val="both"/>
              <w:rPr>
                <w:b/>
                <w:b/>
              </w:rPr>
            </w:pPr>
            <w:r>
              <w:rPr>
                <w:b/>
                <w:sz w:val="20"/>
              </w:rPr>
            </w:r>
          </w:p>
        </w:tc>
      </w:tr>
    </w:tbl>
    <w:p>
      <w:pPr>
        <w:pStyle w:val="Normal"/>
        <w:rPr/>
      </w:pPr>
      <w:r>
        <w:rPr/>
      </w:r>
    </w:p>
    <w:p>
      <w:pPr>
        <w:pStyle w:val="Heading2"/>
        <w:numPr>
          <w:ilvl w:val="0"/>
          <w:numId w:val="20"/>
        </w:numPr>
        <w:rPr/>
      </w:pPr>
      <w:bookmarkStart w:id="100" w:name="__RefHeading___Toc2989_2393532176"/>
      <w:bookmarkStart w:id="101" w:name="_Toc442446455"/>
      <w:bookmarkEnd w:id="100"/>
      <w:bookmarkEnd w:id="101"/>
      <w:r>
        <w:rPr/>
        <w:t>Floorplan File</w:t>
      </w:r>
    </w:p>
    <w:p>
      <w:pPr>
        <w:pStyle w:val="Normal"/>
        <w:jc w:val="both"/>
        <w:rPr/>
      </w:pPr>
      <w:r>
        <w:rPr/>
        <w:t>Every die in the stack must be related to a "Floorplan File" (*.flp), whichessentially provides the power dissipation profile (or heat sources) for the simulation. Each Floorplan file must contain the list of functional blocks (cores, caches, memories, etc), their positions, and the power dissipation as a function of time.</w:t>
      </w:r>
    </w:p>
    <w:p>
      <w:pPr>
        <w:pStyle w:val="Normal"/>
        <w:jc w:val="both"/>
        <w:rPr/>
      </w:pPr>
      <w:r>
        <w:rPr/>
        <w:t xml:space="preserve">Every functional block, here called </w:t>
      </w:r>
      <w:r>
        <w:rPr>
          <w:i/>
        </w:rPr>
        <w:t>floorplan element</w:t>
      </w:r>
      <w:r>
        <w:rPr/>
        <w:t xml:space="preserve">, is an area inside the die, laid out in the source layer. Each floorplan element has a unique identifier- the name it is assigned. In addition, the position and the dimensions of each floorplan element are given (in </w:t>
      </w:r>
      <w:r>
        <w:rPr>
          <w:rFonts w:cs="Calibri" w:cstheme="minorHAnsi"/>
        </w:rPr>
        <w:t>μ</w:t>
      </w:r>
      <w:r>
        <w:rPr/>
        <w:t xml:space="preserve">m) based on the same Cartesian coordinates that was used for building the stack, with the origin at the SOUTH-WEST corner of the source layer. An example floorplan of a 1cmX1cm die with the reference coordinates is shown in Fig. 19. All the distances shown here are in </w:t>
      </w:r>
      <w:r>
        <w:rPr>
          <w:rFonts w:cs="Calibri" w:cstheme="minorHAnsi"/>
        </w:rPr>
        <w:t>μ</w:t>
      </w:r>
      <w:r>
        <w:rPr/>
        <w:t>m.</w:t>
      </w:r>
    </w:p>
    <w:p>
      <w:pPr>
        <w:pStyle w:val="Normal"/>
        <w:jc w:val="both"/>
        <w:rPr/>
      </w:pPr>
      <w:r>
        <w:rPr/>
        <w:t>A floorplan element in the Floorplan File is declared using the following syntax.</w:t>
      </w:r>
    </w:p>
    <w:p>
      <w:pPr>
        <w:pStyle w:val="Normal"/>
        <w:ind w:left="720" w:hanging="0"/>
        <w:jc w:val="both"/>
        <w:rPr>
          <w:rFonts w:ascii="Courier New" w:hAnsi="Courier New" w:cs="Courier New"/>
          <w:sz w:val="18"/>
          <w:lang w:val="fr-CH"/>
        </w:rPr>
      </w:pPr>
      <w:r>
        <w:rPr>
          <w:rFonts w:cs="Courier New" w:ascii="Courier New" w:hAnsi="Courier New"/>
          <w:sz w:val="18"/>
          <w:lang w:val="fr-CH"/>
        </w:rPr>
        <w:t>IDENTIFIER :</w:t>
      </w:r>
    </w:p>
    <w:p>
      <w:pPr>
        <w:pStyle w:val="Normal"/>
        <w:ind w:left="1440" w:hanging="0"/>
        <w:jc w:val="both"/>
        <w:rPr>
          <w:rFonts w:ascii="Courier New" w:hAnsi="Courier New" w:cs="Courier New"/>
          <w:sz w:val="18"/>
          <w:lang w:val="fr-CH"/>
        </w:rPr>
      </w:pPr>
      <w:r>
        <w:rPr>
          <w:rFonts w:cs="Courier New" w:ascii="Courier New" w:hAnsi="Courier New"/>
          <w:sz w:val="18"/>
          <w:lang w:val="fr-CH"/>
        </w:rPr>
        <w:t>position  DVALUE , DVALUE ;</w:t>
      </w:r>
    </w:p>
    <w:p>
      <w:pPr>
        <w:pStyle w:val="Normal"/>
        <w:ind w:left="1440" w:hanging="0"/>
        <w:jc w:val="both"/>
        <w:rPr>
          <w:rFonts w:ascii="Courier New" w:hAnsi="Courier New" w:cs="Courier New"/>
          <w:sz w:val="18"/>
          <w:lang w:val="fr-CH"/>
        </w:rPr>
      </w:pPr>
      <w:r>
        <w:rPr>
          <w:rFonts w:cs="Courier New" w:ascii="Courier New" w:hAnsi="Courier New"/>
          <w:sz w:val="18"/>
          <w:lang w:val="fr-CH"/>
        </w:rPr>
        <w:t>dimension DVALUE , DVALUE ;</w:t>
      </w:r>
    </w:p>
    <w:p>
      <w:pPr>
        <w:pStyle w:val="ListParagraph"/>
        <w:ind w:left="1440" w:hanging="0"/>
        <w:jc w:val="both"/>
        <w:rPr>
          <w:rFonts w:ascii="Courier New" w:hAnsi="Courier New" w:cs="Courier New"/>
          <w:sz w:val="18"/>
          <w:lang w:val="fr-CH"/>
        </w:rPr>
      </w:pPr>
      <w:r>
        <w:rPr>
          <w:rFonts w:cs="Courier New" w:ascii="Courier New" w:hAnsi="Courier New"/>
          <w:sz w:val="18"/>
          <w:szCs w:val="18"/>
          <w:lang w:val="fr-CH"/>
        </w:rPr>
        <w:t>[discretization DVALUE, DVALUE ;]?</w:t>
      </w:r>
    </w:p>
    <w:p>
      <w:pPr>
        <w:pStyle w:val="Normal"/>
        <w:ind w:left="1440" w:hanging="0"/>
        <w:jc w:val="both"/>
        <w:rPr>
          <w:rFonts w:ascii="Courier New" w:hAnsi="Courier New" w:cs="Courier New"/>
          <w:sz w:val="18"/>
        </w:rPr>
      </w:pPr>
      <w:r>
        <w:rPr>
          <w:rFonts w:cs="Courier New" w:ascii="Courier New" w:hAnsi="Courier New"/>
          <w:sz w:val="18"/>
        </w:rPr>
        <w:t>[ power values DVALUE [ , DVALUE ]* ]? ;</w:t>
      </w:r>
    </w:p>
    <w:p>
      <w:pPr>
        <w:pStyle w:val="Normal"/>
        <w:jc w:val="both"/>
        <w:rPr/>
      </w:pPr>
      <w:r>
        <w:rPr/>
        <w:t>Or, if its surface cannot be represented as a simple rectangle, the following syntax is also supported(only in the uniform mode):</w:t>
      </w:r>
    </w:p>
    <w:p>
      <w:pPr>
        <w:pStyle w:val="Normal"/>
        <w:ind w:left="720" w:hanging="0"/>
        <w:jc w:val="both"/>
        <w:rPr>
          <w:rFonts w:ascii="Courier New" w:hAnsi="Courier New" w:cs="Courier New"/>
          <w:sz w:val="18"/>
        </w:rPr>
      </w:pPr>
      <w:r>
        <w:rPr>
          <w:rFonts w:cs="Courier New" w:ascii="Courier New" w:hAnsi="Courier New"/>
          <w:sz w:val="18"/>
        </w:rPr>
        <w:t>IDENTIFIER :</w:t>
      </w:r>
    </w:p>
    <w:p>
      <w:pPr>
        <w:pStyle w:val="Normal"/>
        <w:ind w:left="1440" w:hanging="0"/>
        <w:jc w:val="both"/>
        <w:rPr>
          <w:rFonts w:ascii="Courier New" w:hAnsi="Courier New" w:cs="Courier New"/>
          <w:sz w:val="18"/>
        </w:rPr>
      </w:pPr>
      <w:r>
        <w:rPr>
          <w:rFonts w:cs="Courier New" w:ascii="Courier New" w:hAnsi="Courier New"/>
          <w:sz w:val="18"/>
        </w:rPr>
        <w:t>[ rectangle (DVALUE , DVALUE , DVALUE , DVALUE ) ; ]+</w:t>
      </w:r>
    </w:p>
    <w:p>
      <w:pPr>
        <w:pStyle w:val="Normal"/>
        <w:ind w:left="720" w:firstLine="720"/>
        <w:jc w:val="both"/>
        <w:rPr/>
      </w:pPr>
      <w:r>
        <w:rPr>
          <w:rFonts w:cs="Courier New" w:ascii="Courier New" w:hAnsi="Courier New"/>
          <w:sz w:val="18"/>
        </w:rPr>
        <w:t>[ power values DVALUE [ , DVALUE ]* ]? ;</w:t>
      </w:r>
    </w:p>
    <w:p>
      <w:pPr>
        <w:pStyle w:val="Normal"/>
        <w:jc w:val="both"/>
        <w:rPr/>
      </w:pPr>
      <w:r>
        <w:rPr/>
        <w:t>where</w:t>
      </w:r>
    </w:p>
    <w:p>
      <w:pPr>
        <w:pStyle w:val="ListParagraph"/>
        <w:numPr>
          <w:ilvl w:val="0"/>
          <w:numId w:val="12"/>
        </w:numPr>
        <w:jc w:val="both"/>
        <w:rPr/>
      </w:pPr>
      <w:r>
        <w:rPr>
          <w:rFonts w:cs="Courier New" w:ascii="Courier New" w:hAnsi="Courier New"/>
          <w:sz w:val="18"/>
        </w:rPr>
        <w:t>IDENTIFIER</w:t>
      </w:r>
      <w:r>
        <w:rPr/>
        <w:t xml:space="preserve"> is the unique identifier used to name the floorplan element. This string must be unique within the floorplan file it belongs to but it can be used on a different file, </w:t>
      </w:r>
    </w:p>
    <w:p>
      <w:pPr>
        <w:pStyle w:val="ListParagraph"/>
        <w:numPr>
          <w:ilvl w:val="0"/>
          <w:numId w:val="12"/>
        </w:numPr>
        <w:jc w:val="both"/>
        <w:rPr/>
      </w:pPr>
      <w:r>
        <w:rPr>
          <w:rFonts w:cs="Courier New" w:ascii="Courier New" w:hAnsi="Courier New"/>
          <w:sz w:val="18"/>
        </w:rPr>
        <w:t>position</w:t>
      </w:r>
      <w:r>
        <w:rPr/>
        <w:t xml:space="preserve">, is the (x,y) coordinate of the SOUTH-WEST corner of the floorplan element (in </w:t>
      </w:r>
      <w:r>
        <w:rPr>
          <w:rFonts w:cs="Calibri" w:cstheme="minorHAnsi"/>
        </w:rPr>
        <w:t>μ</w:t>
      </w:r>
      <w:r>
        <w:rPr/>
        <w:t xml:space="preserve">m), </w:t>
      </w:r>
    </w:p>
    <w:p>
      <w:pPr>
        <w:pStyle w:val="ListParagraph"/>
        <w:numPr>
          <w:ilvl w:val="0"/>
          <w:numId w:val="12"/>
        </w:numPr>
        <w:jc w:val="both"/>
        <w:rPr/>
      </w:pPr>
      <w:r>
        <w:rPr>
          <w:rFonts w:cs="Courier New" w:ascii="Courier New" w:hAnsi="Courier New"/>
          <w:sz w:val="18"/>
        </w:rPr>
        <w:t>dimension</w:t>
      </w:r>
      <w:r>
        <w:rPr/>
        <w:t xml:space="preserve"> is the (length, width) dimensions of the floorplan element (in </w:t>
      </w:r>
      <w:r>
        <w:rPr>
          <w:rFonts w:cs="Calibri" w:cstheme="minorHAnsi"/>
        </w:rPr>
        <w:t>μ</w:t>
      </w:r>
      <w:r>
        <w:rPr/>
        <w:t>m),</w:t>
      </w:r>
    </w:p>
    <w:p>
      <w:pPr>
        <w:pStyle w:val="ListParagraph"/>
        <w:numPr>
          <w:ilvl w:val="0"/>
          <w:numId w:val="12"/>
        </w:numPr>
        <w:jc w:val="both"/>
        <w:rPr/>
      </w:pPr>
      <w:r>
        <w:rPr>
          <w:rFonts w:cs="Courier New" w:ascii="Courier New" w:hAnsi="Courier New"/>
          <w:sz w:val="18"/>
        </w:rPr>
        <w:t>rectangle</w:t>
      </w:r>
      <w:r>
        <w:rPr/>
        <w:t xml:space="preserve"> is the (x,y, length, width) description of a part of the floorplan element (in </w:t>
      </w:r>
      <w:r>
        <w:rPr>
          <w:rFonts w:cs="Calibri" w:cstheme="minorHAnsi"/>
        </w:rPr>
        <w:t>μ</w:t>
      </w:r>
      <w:r>
        <w:rPr/>
        <w:t xml:space="preserve">m)  </w:t>
      </w:r>
    </w:p>
    <w:p>
      <w:pPr>
        <w:pStyle w:val="ListParagraph"/>
        <w:numPr>
          <w:ilvl w:val="0"/>
          <w:numId w:val="12"/>
        </w:numPr>
        <w:jc w:val="both"/>
        <w:rPr/>
      </w:pPr>
      <w:r>
        <w:rPr/>
        <w:t xml:space="preserve">The </w:t>
      </w:r>
      <w:r>
        <w:rPr>
          <w:rFonts w:cs="Courier New" w:ascii="Courier New" w:hAnsi="Courier New"/>
          <w:sz w:val="18"/>
        </w:rPr>
        <w:t>DVALUE</w:t>
      </w:r>
      <w:r>
        <w:rPr/>
        <w:t xml:space="preserve">(s) against the keyword </w:t>
      </w:r>
      <w:r>
        <w:rPr>
          <w:rFonts w:cs="Courier New" w:ascii="Courier New" w:hAnsi="Courier New"/>
          <w:sz w:val="18"/>
        </w:rPr>
        <w:t xml:space="preserve">power values </w:t>
      </w:r>
      <w:r>
        <w:rPr/>
        <w:t xml:space="preserve">are the list of power dissipation values (expressed in </w:t>
      </w:r>
      <w:r>
        <w:rPr>
          <w:rFonts w:cs="Calibri" w:cstheme="minorHAnsi"/>
        </w:rPr>
        <w:t>W</w:t>
      </w:r>
      <w:r>
        <w:rPr/>
        <w:t xml:space="preserve">) of the floorplan element for each </w:t>
      </w:r>
      <w:r>
        <w:rPr>
          <w:i/>
        </w:rPr>
        <w:t>time slot</w:t>
      </w:r>
      <w:r>
        <w:rPr/>
        <w:t xml:space="preserve"> (scroll down for the explanation of time slots in 3D-ICE) separated by commas.</w:t>
      </w:r>
    </w:p>
    <w:p>
      <w:pPr>
        <w:pStyle w:val="ListParagraph"/>
        <w:numPr>
          <w:ilvl w:val="0"/>
          <w:numId w:val="12"/>
        </w:numPr>
        <w:jc w:val="both"/>
        <w:rPr/>
      </w:pPr>
      <w:r>
        <w:rPr>
          <w:rFonts w:ascii="Courier New" w:hAnsi="Courier New"/>
          <w:sz w:val="18"/>
          <w:szCs w:val="18"/>
        </w:rPr>
        <w:t xml:space="preserve">[discretization DVALUE, DVALUE ;]? </w:t>
      </w:r>
      <w:r>
        <w:rPr/>
        <w:t>is the discretization level the floorplan element has. This argument only takes effect in non-uniform mode. If this argument is not specified, it inherits the default disretization level the die has.</w:t>
      </w:r>
    </w:p>
    <w:p>
      <w:pPr>
        <w:pStyle w:val="Normal"/>
        <w:jc w:val="both"/>
        <w:rPr/>
      </w:pPr>
      <w:r>
        <w:rPr/>
        <w:t>As an example, the declaration for the Core 0 and the L2 Chache 0 in Fig. 19 with 5 time slots would be as follows:</w:t>
      </w:r>
    </w:p>
    <w:tbl>
      <w:tblPr>
        <w:tblStyle w:val="Tabellenraster"/>
        <w:tblW w:w="9576"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7037"/>
        <w:gridCol w:w="2538"/>
      </w:tblGrid>
      <w:tr>
        <w:trPr/>
        <w:tc>
          <w:tcPr>
            <w:tcW w:w="7037" w:type="dxa"/>
            <w:tcBorders>
              <w:bottom w:val="nil"/>
              <w:right w:val="nil"/>
            </w:tcBorders>
            <w:shd w:fill="auto" w:val="clear"/>
          </w:tcPr>
          <w:p>
            <w:pPr>
              <w:pStyle w:val="Normal"/>
              <w:widowControl w:val="false"/>
              <w:spacing w:lineRule="auto" w:line="240" w:before="0" w:after="0"/>
              <w:jc w:val="both"/>
              <w:rPr>
                <w:b/>
                <w:b/>
              </w:rPr>
            </w:pPr>
            <w:r>
              <w:rPr>
                <w:b/>
                <w:sz w:val="20"/>
              </w:rPr>
              <w:t>Example</w:t>
            </w:r>
          </w:p>
        </w:tc>
        <w:tc>
          <w:tcPr>
            <w:tcW w:w="2538" w:type="dxa"/>
            <w:tcBorders>
              <w:left w:val="nil"/>
              <w:bottom w:val="nil"/>
            </w:tcBorders>
            <w:shd w:fill="auto" w:val="clear"/>
            <w:tcMar>
              <w:left w:w="113" w:type="dxa"/>
            </w:tcMar>
          </w:tcPr>
          <w:p>
            <w:pPr>
              <w:pStyle w:val="Normal"/>
              <w:widowControl w:val="false"/>
              <w:spacing w:lineRule="auto" w:line="240" w:before="0" w:after="0"/>
              <w:jc w:val="both"/>
              <w:rPr>
                <w:sz w:val="20"/>
              </w:rPr>
            </w:pPr>
            <w:r>
              <w:rPr>
                <w:sz w:val="20"/>
              </w:rPr>
            </w:r>
          </w:p>
        </w:tc>
      </w:tr>
      <w:tr>
        <w:trPr/>
        <w:tc>
          <w:tcPr>
            <w:tcW w:w="7037" w:type="dxa"/>
            <w:tcBorders>
              <w:top w:val="nil"/>
              <w:right w:val="nil"/>
            </w:tcBorders>
            <w:shd w:fill="auto" w:val="clear"/>
          </w:tcPr>
          <w:p>
            <w:pPr>
              <w:pStyle w:val="Normal"/>
              <w:keepNext w:val="true"/>
              <w:keepLines/>
              <w:widowControl w:val="false"/>
              <w:numPr>
                <w:ilvl w:val="0"/>
                <w:numId w:val="0"/>
              </w:numPr>
              <w:spacing w:lineRule="auto" w:line="276" w:before="200" w:after="200"/>
              <w:ind w:left="720" w:hanging="0"/>
              <w:jc w:val="both"/>
              <w:outlineLvl w:val="6"/>
              <w:rPr>
                <w:rFonts w:ascii="Courier New" w:hAnsi="Courier New" w:cs="Courier New"/>
                <w:sz w:val="18"/>
                <w:lang w:val="fr-FR"/>
              </w:rPr>
            </w:pPr>
            <w:r>
              <w:rPr>
                <w:rFonts w:cs="Courier New" w:ascii="Courier New" w:hAnsi="Courier New"/>
                <w:sz w:val="18"/>
                <w:lang w:val="fr-FR"/>
              </w:rPr>
              <w:t>L2_Cache_0 :</w:t>
            </w:r>
          </w:p>
          <w:p>
            <w:pPr>
              <w:pStyle w:val="Normal"/>
              <w:widowControl w:val="false"/>
              <w:spacing w:lineRule="auto" w:line="276" w:before="0" w:after="0"/>
              <w:ind w:left="1440" w:hanging="0"/>
              <w:jc w:val="both"/>
              <w:rPr>
                <w:rFonts w:ascii="Courier New" w:hAnsi="Courier New" w:cs="Courier New"/>
                <w:sz w:val="18"/>
                <w:lang w:val="fr-FR"/>
              </w:rPr>
            </w:pPr>
            <w:r>
              <w:rPr>
                <w:rFonts w:cs="Courier New" w:ascii="Courier New" w:hAnsi="Courier New"/>
                <w:sz w:val="18"/>
                <w:lang w:val="fr-FR"/>
              </w:rPr>
              <w:t>position 0, 1750;</w:t>
            </w:r>
          </w:p>
          <w:p>
            <w:pPr>
              <w:pStyle w:val="Normal"/>
              <w:widowControl w:val="false"/>
              <w:spacing w:lineRule="auto" w:line="276" w:before="0" w:after="0"/>
              <w:ind w:left="1440" w:hanging="0"/>
              <w:jc w:val="both"/>
              <w:rPr>
                <w:rFonts w:ascii="Courier New" w:hAnsi="Courier New" w:cs="Courier New"/>
                <w:sz w:val="18"/>
                <w:lang w:val="fr-FR"/>
              </w:rPr>
            </w:pPr>
            <w:r>
              <w:rPr>
                <w:rFonts w:cs="Courier New" w:ascii="Courier New" w:hAnsi="Courier New"/>
                <w:sz w:val="18"/>
                <w:lang w:val="fr-FR"/>
              </w:rPr>
              <w:t>dimension 1250, 7500;</w:t>
            </w:r>
          </w:p>
          <w:p>
            <w:pPr>
              <w:pStyle w:val="Normal"/>
              <w:widowControl w:val="false"/>
              <w:spacing w:lineRule="auto" w:line="276" w:before="0" w:after="0"/>
              <w:ind w:left="1440" w:hanging="0"/>
              <w:jc w:val="both"/>
              <w:rPr>
                <w:rFonts w:ascii="Courier New" w:hAnsi="Courier New" w:cs="Courier New"/>
                <w:sz w:val="18"/>
                <w:lang w:val="fr-FR"/>
              </w:rPr>
            </w:pPr>
            <w:r>
              <w:rPr>
                <w:rFonts w:cs="Courier New" w:ascii="Courier New" w:hAnsi="Courier New"/>
                <w:sz w:val="18"/>
                <w:lang w:val="fr-FR"/>
              </w:rPr>
              <w:t>power values 0.3, 0.3, 0.4, 0.2, 0.3;</w:t>
            </w:r>
          </w:p>
          <w:p>
            <w:pPr>
              <w:pStyle w:val="Normal"/>
              <w:widowControl w:val="false"/>
              <w:spacing w:lineRule="auto" w:line="276" w:before="0" w:after="0"/>
              <w:ind w:left="720" w:hanging="0"/>
              <w:jc w:val="both"/>
              <w:rPr>
                <w:rFonts w:ascii="Courier New" w:hAnsi="Courier New" w:cs="Courier New"/>
                <w:sz w:val="18"/>
                <w:lang w:val="fr-FR"/>
              </w:rPr>
            </w:pPr>
            <w:r>
              <w:rPr>
                <w:rFonts w:cs="Courier New" w:ascii="Courier New" w:hAnsi="Courier New"/>
                <w:sz w:val="20"/>
                <w:lang w:val="fr-FR"/>
              </w:rPr>
            </w:r>
          </w:p>
          <w:p>
            <w:pPr>
              <w:pStyle w:val="Normal"/>
              <w:widowControl w:val="false"/>
              <w:spacing w:lineRule="auto" w:line="276" w:before="0" w:after="0"/>
              <w:ind w:left="720" w:hanging="0"/>
              <w:jc w:val="both"/>
              <w:rPr>
                <w:rFonts w:ascii="Courier New" w:hAnsi="Courier New" w:cs="Courier New"/>
                <w:sz w:val="18"/>
              </w:rPr>
            </w:pPr>
            <w:r>
              <w:rPr>
                <w:rFonts w:cs="Courier New" w:ascii="Courier New" w:hAnsi="Courier New"/>
                <w:sz w:val="18"/>
              </w:rPr>
              <w:t>Core_0 :</w:t>
            </w:r>
          </w:p>
          <w:p>
            <w:pPr>
              <w:pStyle w:val="Normal"/>
              <w:widowControl w:val="false"/>
              <w:spacing w:lineRule="auto" w:line="276" w:before="0" w:after="0"/>
              <w:ind w:left="1440" w:hanging="0"/>
              <w:jc w:val="both"/>
              <w:rPr>
                <w:rFonts w:ascii="Courier New" w:hAnsi="Courier New" w:cs="Courier New"/>
                <w:sz w:val="18"/>
              </w:rPr>
            </w:pPr>
            <w:r>
              <w:rPr>
                <w:rFonts w:cs="Courier New" w:ascii="Courier New" w:hAnsi="Courier New"/>
                <w:sz w:val="18"/>
              </w:rPr>
              <w:t>rectangle (   0,    0, 1250, 1750) ;</w:t>
            </w:r>
          </w:p>
          <w:p>
            <w:pPr>
              <w:pStyle w:val="Normal"/>
              <w:widowControl w:val="false"/>
              <w:spacing w:lineRule="auto" w:line="276" w:before="0" w:after="0"/>
              <w:ind w:left="1440" w:hanging="0"/>
              <w:jc w:val="both"/>
              <w:rPr>
                <w:rFonts w:ascii="Courier New" w:hAnsi="Courier New" w:cs="Courier New"/>
                <w:sz w:val="18"/>
              </w:rPr>
            </w:pPr>
            <w:r>
              <w:rPr>
                <w:rFonts w:cs="Courier New" w:ascii="Courier New" w:hAnsi="Courier New"/>
                <w:sz w:val="18"/>
              </w:rPr>
              <w:t>rectangle (1250,    0, 3750, 2000) ;</w:t>
            </w:r>
          </w:p>
          <w:p>
            <w:pPr>
              <w:pStyle w:val="Normal"/>
              <w:widowControl w:val="false"/>
              <w:spacing w:lineRule="auto" w:line="276" w:before="0" w:after="0"/>
              <w:ind w:left="1440" w:hanging="0"/>
              <w:jc w:val="both"/>
              <w:rPr>
                <w:rFonts w:ascii="Courier New" w:hAnsi="Courier New" w:cs="Courier New"/>
                <w:sz w:val="18"/>
              </w:rPr>
            </w:pPr>
            <w:r>
              <w:rPr>
                <w:rFonts w:cs="Courier New" w:ascii="Courier New" w:hAnsi="Courier New"/>
                <w:sz w:val="18"/>
              </w:rPr>
              <w:t>rectangle (1250, 2000, 2500, 1500) ;</w:t>
            </w:r>
          </w:p>
          <w:p>
            <w:pPr>
              <w:pStyle w:val="Normal"/>
              <w:widowControl w:val="false"/>
              <w:spacing w:lineRule="auto" w:line="276" w:before="0" w:after="0"/>
              <w:ind w:left="1440" w:hanging="0"/>
              <w:jc w:val="both"/>
              <w:rPr>
                <w:rFonts w:ascii="Courier New" w:hAnsi="Courier New" w:cs="Courier New"/>
                <w:sz w:val="18"/>
              </w:rPr>
            </w:pPr>
            <w:r>
              <w:rPr>
                <w:rFonts w:cs="Courier New" w:ascii="Courier New" w:hAnsi="Courier New"/>
                <w:sz w:val="18"/>
              </w:rPr>
              <w:t>power values 0.5, 0.5, 0.1, 0.1, 0.7;</w:t>
            </w:r>
          </w:p>
        </w:tc>
        <w:tc>
          <w:tcPr>
            <w:tcW w:w="2538" w:type="dxa"/>
            <w:tcBorders>
              <w:top w:val="nil"/>
              <w:left w:val="nil"/>
            </w:tcBorders>
            <w:shd w:fill="auto" w:val="clear"/>
            <w:tcMar>
              <w:left w:w="113" w:type="dxa"/>
            </w:tcMar>
          </w:tcPr>
          <w:p>
            <w:pPr>
              <w:pStyle w:val="Normal"/>
              <w:widowControl w:val="false"/>
              <w:spacing w:lineRule="auto" w:line="240" w:before="0" w:after="0"/>
              <w:jc w:val="both"/>
              <w:rPr>
                <w:sz w:val="20"/>
              </w:rPr>
            </w:pPr>
            <w:r>
              <w:rPr>
                <w:sz w:val="20"/>
              </w:rPr>
            </w:r>
          </w:p>
        </w:tc>
      </w:tr>
    </w:tbl>
    <w:p>
      <w:pPr>
        <w:pStyle w:val="Normal"/>
        <w:jc w:val="both"/>
        <w:rPr/>
      </w:pPr>
      <w:r>
        <w:rPr/>
      </w:r>
    </w:p>
    <w:p>
      <w:pPr>
        <w:pStyle w:val="Normal"/>
        <w:keepNext w:val="true"/>
        <w:jc w:val="center"/>
        <w:rPr/>
      </w:pPr>
      <w:r>
        <w:rPr/>
        <w:drawing>
          <wp:inline distT="0" distB="0" distL="0" distR="0">
            <wp:extent cx="3623945" cy="2936240"/>
            <wp:effectExtent l="0" t="0" r="0" b="0"/>
            <wp:docPr id="26" name="Pictur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 descr=""/>
                    <pic:cNvPicPr>
                      <a:picLocks noChangeAspect="1" noChangeArrowheads="1"/>
                    </pic:cNvPicPr>
                  </pic:nvPicPr>
                  <pic:blipFill>
                    <a:blip r:embed="rId29"/>
                    <a:stretch>
                      <a:fillRect/>
                    </a:stretch>
                  </pic:blipFill>
                  <pic:spPr bwMode="auto">
                    <a:xfrm>
                      <a:off x="0" y="0"/>
                      <a:ext cx="3623945" cy="2936240"/>
                    </a:xfrm>
                    <a:prstGeom prst="rect">
                      <a:avLst/>
                    </a:prstGeom>
                  </pic:spPr>
                </pic:pic>
              </a:graphicData>
            </a:graphic>
          </wp:inline>
        </w:drawing>
      </w:r>
    </w:p>
    <w:p>
      <w:pPr>
        <w:pStyle w:val="Caption1"/>
        <w:jc w:val="center"/>
        <w:rPr/>
      </w:pPr>
      <w:r>
        <w:rPr/>
        <w:t xml:space="preserve">Figure 19: An example floorplan for a 1cmX1cm IC die. Notice the irregular floorplans Core 0, Core 1, Core 2, Core 3. </w:t>
      </w:r>
    </w:p>
    <w:p>
      <w:pPr>
        <w:pStyle w:val="Normal"/>
        <w:jc w:val="both"/>
        <w:rPr/>
      </w:pPr>
      <w:r>
        <w:rPr/>
        <w:t>The following points must be kept in mind while writing the floorplan files:</w:t>
      </w:r>
    </w:p>
    <w:p>
      <w:pPr>
        <w:pStyle w:val="ListParagraph"/>
        <w:numPr>
          <w:ilvl w:val="0"/>
          <w:numId w:val="13"/>
        </w:numPr>
        <w:jc w:val="both"/>
        <w:rPr/>
      </w:pPr>
      <w:r>
        <w:rPr/>
        <w:t xml:space="preserve">Floorplan elements must not overlap. During the parsing of the Floorplan File, the values describing the elements are checked to verify that all the elements are inside the chip and that they donot overlap. </w:t>
      </w:r>
    </w:p>
    <w:p>
      <w:pPr>
        <w:pStyle w:val="Normal"/>
        <w:numPr>
          <w:ilvl w:val="0"/>
          <w:numId w:val="13"/>
        </w:numPr>
        <w:jc w:val="both"/>
        <w:rPr/>
      </w:pPr>
      <w:r>
        <w:rPr/>
        <w:t>In the non-uniform mode, each floorplan element is discretized into a number of cells following the discretization setting.  There will be no intersect area between different floorplan elements.</w:t>
      </w:r>
    </w:p>
    <w:p>
      <w:pPr>
        <w:pStyle w:val="ListParagraph"/>
        <w:numPr>
          <w:ilvl w:val="0"/>
          <w:numId w:val="13"/>
        </w:numPr>
        <w:jc w:val="both"/>
        <w:rPr/>
      </w:pPr>
      <w:r>
        <w:rPr/>
        <w:t xml:space="preserve">In the uniform mode, when the stack structure is discretized based on the given thermal cell dimensions, the power dissipated by a floorplan element is </w:t>
      </w:r>
      <w:r>
        <w:rPr>
          <w:b/>
        </w:rPr>
        <w:t>uniformly</w:t>
      </w:r>
      <w:r>
        <w:rPr/>
        <w:t xml:space="preserve"> divided among the thermal cells that </w:t>
      </w:r>
      <w:r>
        <w:rPr>
          <w:i/>
        </w:rPr>
        <w:t>intersect its surface</w:t>
      </w:r>
      <w:r>
        <w:rPr/>
        <w:t xml:space="preserve">. </w:t>
      </w:r>
      <w:r>
        <w:rPr>
          <w:b/>
        </w:rPr>
        <w:t xml:space="preserve">It is not required that the position and dimensions of the floorplan elements are an exact multiple of the dimensions of the thermal cells. </w:t>
      </w:r>
      <w:r>
        <w:rPr/>
        <w:t xml:space="preserve">Therefore, depending on the layout of the IC, </w:t>
      </w:r>
      <w:r>
        <w:rPr>
          <w:b/>
        </w:rPr>
        <w:t>a thermal cell can receive the power from different floorplan elements</w:t>
      </w:r>
      <w:r>
        <w:rPr/>
        <w:t xml:space="preserve">. For the same reason, </w:t>
      </w:r>
      <w:r>
        <w:rPr>
          <w:b/>
        </w:rPr>
        <w:t>a floorplan element can</w:t>
      </w:r>
      <w:r>
        <w:rPr/>
        <w:t xml:space="preserve"> also </w:t>
      </w:r>
      <w:r>
        <w:rPr>
          <w:b/>
        </w:rPr>
        <w:t>be smaller than the thermal cell</w:t>
      </w:r>
      <w:r>
        <w:rPr/>
        <w:t xml:space="preserve"> itself. The assignment of thermal cells to different floorplan elements is illustrated in Fig. 20.The thermal cell highlighted in the center of the image receives as input the power coming from the </w:t>
      </w:r>
      <w:r>
        <w:rPr>
          <w:rFonts w:cs="Courier New" w:ascii="Courier New" w:hAnsi="Courier New"/>
        </w:rPr>
        <w:t>FPU</w:t>
      </w:r>
      <w:r>
        <w:rPr/>
        <w:t xml:space="preserve"> unit, the </w:t>
      </w:r>
      <w:r>
        <w:rPr>
          <w:rFonts w:cs="Courier New" w:ascii="Courier New" w:hAnsi="Courier New"/>
        </w:rPr>
        <w:t>L1Cache1</w:t>
      </w:r>
      <w:r>
        <w:rPr/>
        <w:t xml:space="preserve"> and the </w:t>
      </w:r>
      <w:r>
        <w:rPr>
          <w:rFonts w:cs="Courier New" w:ascii="Courier New" w:hAnsi="Courier New"/>
        </w:rPr>
        <w:t>Core1</w:t>
      </w:r>
      <w:r>
        <w:rPr/>
        <w:t xml:space="preserve"> at the same time. The power value consumed by each component will be scaled according to the fraction of the surface of the thermal cell covered by the corresponding IC unit:</w:t>
      </w:r>
    </w:p>
    <w:p>
      <w:pPr>
        <w:pStyle w:val="Normal"/>
        <w:ind w:left="360" w:hanging="0"/>
        <w:jc w:val="left"/>
        <w:rPr/>
      </w:pPr>
      <w:r>
        <w:rPr/>
      </w:r>
      <m:oMathPara xmlns:m="http://schemas.openxmlformats.org/officeDocument/2006/math">
        <m:oMathParaPr>
          <m:jc m:val="left"/>
        </m:oMathParaPr>
        <m:oMath>
          <m:r>
            <w:rPr>
              <w:rFonts w:ascii="Cambria Math" w:hAnsi="Cambria Math"/>
            </w:rPr>
            <m:t xml:space="preserve">Input</m:t>
          </m:r>
          <m:r>
            <w:rPr>
              <w:rFonts w:ascii="Cambria Math" w:hAnsi="Cambria Math"/>
            </w:rPr>
            <m:t xml:space="preserve">=</m:t>
          </m:r>
          <m:sSub>
            <m:e>
              <m:r>
                <w:rPr>
                  <w:rFonts w:ascii="Cambria Math" w:hAnsi="Cambria Math"/>
                </w:rPr>
                <m:t xml:space="preserve">Power</m:t>
              </m:r>
            </m:e>
            <m:sub>
              <m:r>
                <w:rPr>
                  <w:rFonts w:ascii="Cambria Math" w:hAnsi="Cambria Math"/>
                </w:rPr>
                <m:t xml:space="preserve">FPU</m:t>
              </m:r>
            </m:sub>
          </m:sSub>
          <m:f>
            <m:num>
              <m:sSub>
                <m:e>
                  <m:r>
                    <w:rPr>
                      <w:rFonts w:ascii="Cambria Math" w:hAnsi="Cambria Math"/>
                    </w:rPr>
                    <m:t xml:space="preserve">a</m:t>
                  </m:r>
                </m:e>
                <m:sub>
                  <m:r>
                    <w:rPr>
                      <w:rFonts w:ascii="Cambria Math" w:hAnsi="Cambria Math"/>
                    </w:rPr>
                    <m:t xml:space="preserve">1</m:t>
                  </m:r>
                </m:sub>
              </m:sSub>
            </m:num>
            <m:den>
              <m:sSub>
                <m:e>
                  <m:r>
                    <w:rPr>
                      <w:rFonts w:ascii="Cambria Math" w:hAnsi="Cambria Math"/>
                    </w:rPr>
                    <m:t xml:space="preserve">Area</m:t>
                  </m:r>
                </m:e>
                <m:sub>
                  <m:r>
                    <w:rPr>
                      <w:rFonts w:ascii="Cambria Math" w:hAnsi="Cambria Math"/>
                    </w:rPr>
                    <m:t xml:space="preserve">FPU</m:t>
                  </m:r>
                </m:sub>
              </m:sSub>
            </m:den>
          </m:f>
          <m:r>
            <w:rPr>
              <w:rFonts w:ascii="Cambria Math" w:hAnsi="Cambria Math"/>
            </w:rPr>
            <m:t xml:space="preserve">+</m:t>
          </m:r>
          <m:sSub>
            <m:e>
              <m:r>
                <w:rPr>
                  <w:rFonts w:ascii="Cambria Math" w:hAnsi="Cambria Math"/>
                </w:rPr>
                <m:t xml:space="preserve">Power</m:t>
              </m:r>
            </m:e>
            <m:sub>
              <m:r>
                <w:rPr>
                  <w:rFonts w:ascii="Cambria Math" w:hAnsi="Cambria Math"/>
                </w:rPr>
                <m:t xml:space="preserve">CacheL</m:t>
              </m:r>
              <m:r>
                <w:rPr>
                  <w:rFonts w:ascii="Cambria Math" w:hAnsi="Cambria Math"/>
                </w:rPr>
                <m:t xml:space="preserve">1</m:t>
              </m:r>
            </m:sub>
          </m:sSub>
          <m:f>
            <m:num>
              <m:sSub>
                <m:e>
                  <m:r>
                    <w:rPr>
                      <w:rFonts w:ascii="Cambria Math" w:hAnsi="Cambria Math"/>
                    </w:rPr>
                    <m:t xml:space="preserve">a</m:t>
                  </m:r>
                </m:e>
                <m:sub>
                  <m:r>
                    <w:rPr>
                      <w:rFonts w:ascii="Cambria Math" w:hAnsi="Cambria Math"/>
                    </w:rPr>
                    <m:t xml:space="preserve">2</m:t>
                  </m:r>
                </m:sub>
              </m:sSub>
            </m:num>
            <m:den>
              <m:sSub>
                <m:e>
                  <m:r>
                    <w:rPr>
                      <w:rFonts w:ascii="Cambria Math" w:hAnsi="Cambria Math"/>
                    </w:rPr>
                    <m:t xml:space="preserve">Area</m:t>
                  </m:r>
                </m:e>
                <m:sub>
                  <m:r>
                    <w:rPr>
                      <w:rFonts w:ascii="Cambria Math" w:hAnsi="Cambria Math"/>
                    </w:rPr>
                    <m:t xml:space="preserve">CacheL</m:t>
                  </m:r>
                  <m:r>
                    <w:rPr>
                      <w:rFonts w:ascii="Cambria Math" w:hAnsi="Cambria Math"/>
                    </w:rPr>
                    <m:t xml:space="preserve">1</m:t>
                  </m:r>
                </m:sub>
              </m:sSub>
            </m:den>
          </m:f>
          <m:r>
            <w:rPr>
              <w:rFonts w:ascii="Cambria Math" w:hAnsi="Cambria Math"/>
            </w:rPr>
            <m:t xml:space="preserve">+</m:t>
          </m:r>
          <m:sSub>
            <m:e>
              <m:r>
                <w:rPr>
                  <w:rFonts w:ascii="Cambria Math" w:hAnsi="Cambria Math"/>
                </w:rPr>
                <m:t xml:space="preserve">Power</m:t>
              </m:r>
            </m:e>
            <m:sub>
              <m:r>
                <w:rPr>
                  <w:rFonts w:ascii="Cambria Math" w:hAnsi="Cambria Math"/>
                </w:rPr>
                <m:t xml:space="preserve">Core</m:t>
              </m:r>
              <m:r>
                <w:rPr>
                  <w:rFonts w:ascii="Cambria Math" w:hAnsi="Cambria Math"/>
                </w:rPr>
                <m:t xml:space="preserve">1</m:t>
              </m:r>
            </m:sub>
          </m:sSub>
          <m:f>
            <m:num>
              <m:sSub>
                <m:e>
                  <m:r>
                    <w:rPr>
                      <w:rFonts w:ascii="Cambria Math" w:hAnsi="Cambria Math"/>
                    </w:rPr>
                    <m:t xml:space="preserve">a</m:t>
                  </m:r>
                </m:e>
                <m:sub>
                  <m:r>
                    <w:rPr>
                      <w:rFonts w:ascii="Cambria Math" w:hAnsi="Cambria Math"/>
                    </w:rPr>
                    <m:t xml:space="preserve">3</m:t>
                  </m:r>
                </m:sub>
              </m:sSub>
            </m:num>
            <m:den>
              <m:sSub>
                <m:e>
                  <m:r>
                    <w:rPr>
                      <w:rFonts w:ascii="Cambria Math" w:hAnsi="Cambria Math"/>
                    </w:rPr>
                    <m:t xml:space="preserve">Area</m:t>
                  </m:r>
                </m:e>
                <m:sub>
                  <m:r>
                    <w:rPr>
                      <w:rFonts w:ascii="Cambria Math" w:hAnsi="Cambria Math"/>
                    </w:rPr>
                    <m:t xml:space="preserve">Core</m:t>
                  </m:r>
                  <m:r>
                    <w:rPr>
                      <w:rFonts w:ascii="Cambria Math" w:hAnsi="Cambria Math"/>
                    </w:rPr>
                    <m:t xml:space="preserve">1</m:t>
                  </m:r>
                </m:sub>
              </m:sSub>
            </m:den>
          </m:f>
        </m:oMath>
      </m:oMathPara>
    </w:p>
    <w:p>
      <w:pPr>
        <w:pStyle w:val="ListParagraph"/>
        <w:numPr>
          <w:ilvl w:val="0"/>
          <w:numId w:val="13"/>
        </w:numPr>
        <w:jc w:val="both"/>
        <w:rPr/>
      </w:pPr>
      <w:r>
        <w:rPr/>
        <w:t xml:space="preserve">The same Floorplan File can be assigned to 2 or more dies in the Stack Description File if they happen to have identical structure and behavior in the design. Each floorplan element in the entire design, in that case, is uniquely identified by the </w:t>
      </w:r>
      <w:r>
        <w:rPr>
          <w:rFonts w:cs="Courier New" w:ascii="Courier New" w:hAnsi="Courier New"/>
          <w:sz w:val="18"/>
        </w:rPr>
        <w:t>DD_ID</w:t>
      </w:r>
      <w:r>
        <w:rPr/>
        <w:t xml:space="preserve"> identifier of the corresponding die element and the</w:t>
      </w:r>
      <w:r>
        <w:rPr>
          <w:rFonts w:cs="Courier New" w:ascii="Courier New" w:hAnsi="Courier New"/>
          <w:sz w:val="18"/>
        </w:rPr>
        <w:t xml:space="preserve"> IDENTIFIER</w:t>
      </w:r>
      <w:r>
        <w:rPr/>
        <w:t xml:space="preserve"> of the floorplan element. </w:t>
      </w:r>
    </w:p>
    <w:p>
      <w:pPr>
        <w:pStyle w:val="ListParagraph"/>
        <w:numPr>
          <w:ilvl w:val="0"/>
          <w:numId w:val="13"/>
        </w:numPr>
        <w:jc w:val="both"/>
        <w:rPr/>
      </w:pPr>
      <w:r>
        <w:rPr/>
        <w:t xml:space="preserve">If two dies in the stack have the same floorplan but during the simulation they have a different power dissipation activity, then 2 different Floorplan Files must be created for each die and assigned to the corresponding die element declarations in the Stack Description File. This is because the power dissipations are directly linked to each floorplan element in the Floorplan File. </w:t>
      </w:r>
    </w:p>
    <w:p>
      <w:pPr>
        <w:pStyle w:val="ListParagraph"/>
        <w:numPr>
          <w:ilvl w:val="0"/>
          <w:numId w:val="13"/>
        </w:numPr>
        <w:jc w:val="both"/>
        <w:rPr/>
      </w:pPr>
      <w:r>
        <w:rPr/>
        <w:t xml:space="preserve">In the uniform mode, it is possible to have gaps in the floorplan- regions where there is no floorplan element and hence, no power dissipation. The thermal cells in these regions will simply not be assigned any source value during the solving of system equations. However, it is not allowed to have gaps in the floorplan regions in the non-unifrom mode because of </w:t>
      </w:r>
      <w:r>
        <w:rPr>
          <w:rFonts w:eastAsia="Calibri" w:cs="" w:cstheme="minorBidi" w:eastAsiaTheme="minorHAnsi"/>
          <w:color w:val="00000A"/>
          <w:kern w:val="0"/>
          <w:sz w:val="22"/>
          <w:szCs w:val="22"/>
          <w:lang w:val="en-US" w:eastAsia="en-US" w:bidi="ar-SA"/>
        </w:rPr>
        <w:t>its</w:t>
      </w:r>
      <w:r>
        <w:rPr/>
        <w:t xml:space="preserve"> unique modeling method.</w:t>
      </w:r>
    </w:p>
    <w:p>
      <w:pPr>
        <w:pStyle w:val="Caption1"/>
        <w:jc w:val="center"/>
        <w:rPr/>
      </w:pPr>
      <w:r>
        <w:rPr/>
      </w:r>
    </w:p>
    <w:p>
      <w:pPr>
        <w:pStyle w:val="Caption1"/>
        <w:jc w:val="center"/>
        <w:rPr/>
      </w:pPr>
      <w:r>
        <w:drawing>
          <wp:anchor behindDoc="0" distT="0" distB="0" distL="0" distR="0" simplePos="0" locked="0" layoutInCell="0" allowOverlap="1" relativeHeight="55">
            <wp:simplePos x="0" y="0"/>
            <wp:positionH relativeFrom="column">
              <wp:align>center</wp:align>
            </wp:positionH>
            <wp:positionV relativeFrom="paragraph">
              <wp:posOffset>635</wp:posOffset>
            </wp:positionV>
            <wp:extent cx="5943600" cy="2475865"/>
            <wp:effectExtent l="0" t="0" r="0" b="0"/>
            <wp:wrapTopAndBottom/>
            <wp:docPr id="27"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7" descr=""/>
                    <pic:cNvPicPr>
                      <a:picLocks noChangeAspect="1" noChangeArrowheads="1"/>
                    </pic:cNvPicPr>
                  </pic:nvPicPr>
                  <pic:blipFill>
                    <a:blip r:embed="rId30"/>
                    <a:stretch>
                      <a:fillRect/>
                    </a:stretch>
                  </pic:blipFill>
                  <pic:spPr bwMode="auto">
                    <a:xfrm>
                      <a:off x="0" y="0"/>
                      <a:ext cx="5943600" cy="2475865"/>
                    </a:xfrm>
                    <a:prstGeom prst="rect">
                      <a:avLst/>
                    </a:prstGeom>
                  </pic:spPr>
                </pic:pic>
              </a:graphicData>
            </a:graphic>
          </wp:anchor>
        </w:drawing>
      </w:r>
      <w:r>
        <w:rPr/>
        <w:t>Figure20: Assignment of thermal cells to floorplan elements</w:t>
      </w:r>
    </w:p>
    <w:p>
      <w:pPr>
        <w:pStyle w:val="Heading3"/>
        <w:rPr/>
      </w:pPr>
      <w:bookmarkStart w:id="102" w:name="__RefHeading___Toc2991_2393532176"/>
      <w:bookmarkStart w:id="103" w:name="_Toc442446456"/>
      <w:bookmarkEnd w:id="102"/>
      <w:bookmarkEnd w:id="103"/>
      <w:r>
        <w:rPr/>
        <w:t>Time Slots</w:t>
      </w:r>
    </w:p>
    <w:p>
      <w:pPr>
        <w:pStyle w:val="Normal"/>
        <w:jc w:val="both"/>
        <w:rPr/>
      </w:pPr>
      <w:r>
        <w:rPr/>
        <w:t xml:space="preserve">The entire time-interval of simulation (ToS) in 3D-ICE is divided into </w:t>
      </w:r>
      <w:r>
        <w:rPr>
          <w:i/>
        </w:rPr>
        <w:t>time slots</w:t>
      </w:r>
      <w:r>
        <w:rPr/>
        <w:t>- the minimum time duration for which the switching activity of the floorplan elements has been resolved. For example, if for a given design the switching activity (a measure of how much a floorplan component is active, directly related to its power dissipation) is sampled every 200ms during a 1 second ToS, then there are 5 time slots for the 3D-ICE simulation. And hence, there must be 5 values of power dissipation for each floorplan element declaration in the Floorplan File. Conversely, the number of power values for the floorplan element is interpreted as the number of time slots (NoTS) for the simulation. In all 3D-ICE simulations, it is assumed that the power dissipation in a particular thermal cell is CONSTANT during the period of a time slot- calculated based on the power value of the corresponding floorplan element,in which the thermal cell exists, for that time slot (see Fig. 21).</w:t>
      </w:r>
    </w:p>
    <w:p>
      <w:pPr>
        <w:pStyle w:val="Normal"/>
        <w:jc w:val="both"/>
        <w:rPr/>
      </w:pPr>
      <w:r>
        <w:rPr/>
        <w:t xml:space="preserve">Note that time slot is different from </w:t>
      </w:r>
      <w:r>
        <w:rPr>
          <w:i/>
        </w:rPr>
        <w:t>time step</w:t>
      </w:r>
      <w:r>
        <w:rPr/>
        <w:t>, which is the discretization length of the time-domain for the numerical integration of the system of differential equations representing the entire thermal circuit created inside 3D-ICE. The exact durations of both time slot and time step are given when running the simulator. For further details, see Chapter 5.</w:t>
      </w:r>
    </w:p>
    <w:p>
      <w:pPr>
        <w:pStyle w:val="Normal"/>
        <w:keepNext w:val="true"/>
        <w:jc w:val="center"/>
        <w:rPr/>
      </w:pPr>
      <w:r>
        <w:rPr/>
        <w:drawing>
          <wp:inline distT="0" distB="0" distL="0" distR="0">
            <wp:extent cx="4189095" cy="2346960"/>
            <wp:effectExtent l="0" t="0" r="0" b="0"/>
            <wp:docPr id="28" name="Pictur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8" descr=""/>
                    <pic:cNvPicPr>
                      <a:picLocks noChangeAspect="1" noChangeArrowheads="1"/>
                    </pic:cNvPicPr>
                  </pic:nvPicPr>
                  <pic:blipFill>
                    <a:blip r:embed="rId31"/>
                    <a:stretch>
                      <a:fillRect/>
                    </a:stretch>
                  </pic:blipFill>
                  <pic:spPr bwMode="auto">
                    <a:xfrm>
                      <a:off x="0" y="0"/>
                      <a:ext cx="4189095" cy="2346960"/>
                    </a:xfrm>
                    <a:prstGeom prst="rect">
                      <a:avLst/>
                    </a:prstGeom>
                  </pic:spPr>
                </pic:pic>
              </a:graphicData>
            </a:graphic>
          </wp:inline>
        </w:drawing>
      </w:r>
    </w:p>
    <w:p>
      <w:pPr>
        <w:pStyle w:val="Caption1"/>
        <w:jc w:val="center"/>
        <w:rPr/>
      </w:pPr>
      <w:r>
        <w:rPr/>
        <w:t>Figure 21: Power dissipation profile of Core 0 and Core 6 in Fig. 19</w:t>
      </w:r>
    </w:p>
    <w:p>
      <w:pPr>
        <w:pStyle w:val="Normal"/>
        <w:jc w:val="both"/>
        <w:rPr/>
      </w:pPr>
      <w:r>
        <w:rPr/>
        <w:t xml:space="preserve">Since uniform sampling of the switching activity for all the components in an IC is assumed, the number of power values given for each floorplan element in the Floorplan File </w:t>
      </w:r>
      <w:r>
        <w:rPr>
          <w:u w:val="single"/>
        </w:rPr>
        <w:t>shouldbe the same</w:t>
      </w:r>
      <w:r>
        <w:rPr/>
        <w:t xml:space="preserve">. Even when there is zero power dissipation for a particular floorplan element during some time slot (Core 0 at slot #4 in Fig. 21) or if a particular floorplan element has constant power dissipation during some or all time slots (Core 6 during slot #2 and slot #3 in Fig. 21), the corresponding power values must be mentioned </w:t>
      </w:r>
      <w:r>
        <w:rPr>
          <w:u w:val="single"/>
        </w:rPr>
        <w:t>explicitly</w:t>
      </w:r>
      <w:r>
        <w:rPr/>
        <w:t xml:space="preserve"> for each time slot. The function </w:t>
      </w:r>
      <w:r>
        <w:rPr>
          <w:rFonts w:cs="Courier New" w:ascii="Courier New" w:hAnsi="Courier New"/>
          <w:sz w:val="18"/>
        </w:rPr>
        <w:t>emulate_slot</w:t>
      </w:r>
      <w:r>
        <w:rPr/>
        <w:t xml:space="preserve"> returns a value indiacting the end of the simulation whenever if finds a floorplan element with an empty list of power values. Therefore, the ToS will be determined by the length of the shortest list of power values within all the floorplan elements that are declared in the dies. </w:t>
      </w:r>
      <w:r>
        <w:br w:type="page"/>
      </w:r>
    </w:p>
    <w:p>
      <w:pPr>
        <w:pStyle w:val="Heading1"/>
        <w:numPr>
          <w:ilvl w:val="0"/>
          <w:numId w:val="2"/>
        </w:numPr>
        <w:rPr/>
      </w:pPr>
      <w:bookmarkStart w:id="104" w:name="__RefHeading___Toc2993_2393532176"/>
      <w:bookmarkEnd w:id="104"/>
      <w:r>
        <w:rPr/>
        <w:t>Co-simulation and plugin interface</w:t>
      </w:r>
    </w:p>
    <w:p>
      <w:pPr>
        <w:pStyle w:val="Normal"/>
        <w:rPr/>
      </w:pPr>
      <w:r>
        <w:rPr/>
        <w:t xml:space="preserve">3D-ICE starting from version </w:t>
      </w:r>
      <w:r>
        <w:rPr>
          <w:rFonts w:eastAsia="Calibri" w:cs="" w:cstheme="minorBidi" w:eastAsiaTheme="minorHAnsi"/>
          <w:color w:val="00000A"/>
          <w:kern w:val="0"/>
          <w:sz w:val="22"/>
          <w:szCs w:val="22"/>
          <w:lang w:val="en-US" w:eastAsia="en-US" w:bidi="ar-SA"/>
        </w:rPr>
        <w:t>3.0.0</w:t>
      </w:r>
      <w:r>
        <w:rPr/>
        <w:t xml:space="preserve"> supports a pluggable heat sink interface that allow it to perform co-simulation with a separate heat sink model. 3D-ICE pluggable heat sinks can be found in the </w:t>
      </w:r>
      <w:r>
        <w:rPr>
          <w:rFonts w:ascii="Courier new" w:hAnsi="Courier new"/>
          <w:sz w:val="18"/>
          <w:szCs w:val="18"/>
        </w:rPr>
        <w:t>heatsink_plugin/heatsinks</w:t>
      </w:r>
      <w:r>
        <w:rPr/>
        <w:t xml:space="preserve"> directory. User-supplied heat sinks can also be simulated. In this configuration, 3D-ICE simulates the 3D IC stack and an heat spreader connected to the top of the 3D IC stack, whose dimensions can be larger than the stack itself. If the heat dissipation stack to be simulated does not include a heat spreader, the last layer of the IC can take the place of the heat spreader.</w:t>
      </w:r>
    </w:p>
    <w:p>
      <w:pPr>
        <w:pStyle w:val="Normal"/>
        <w:rPr/>
      </w:pPr>
      <w:r>
        <w:rPr/>
        <w:t>The simulation of the heat sink is instead performed by a heat sink plugin, in the form of a dynamic library loaded by 3D-ICE.</w:t>
      </w:r>
    </w:p>
    <w:p>
      <w:pPr>
        <w:pStyle w:val="Normal"/>
        <w:jc w:val="both"/>
        <w:rPr/>
      </w:pPr>
      <w:r>
        <w:rPr/>
        <w:t xml:space="preserve">Plugin-related files are in the </w:t>
      </w:r>
      <w:r>
        <w:rPr>
          <w:rFonts w:cs="Courier New" w:ascii="Courier New" w:hAnsi="Courier New"/>
          <w:sz w:val="18"/>
        </w:rPr>
        <w:t>heatsink_plugin</w:t>
      </w:r>
      <w:r>
        <w:rPr/>
        <w:t xml:space="preserve"> directory. This directory contains the following subdirectories:</w:t>
      </w:r>
    </w:p>
    <w:p>
      <w:pPr>
        <w:pStyle w:val="Normal"/>
        <w:numPr>
          <w:ilvl w:val="0"/>
          <w:numId w:val="34"/>
        </w:numPr>
        <w:jc w:val="both"/>
        <w:rPr/>
      </w:pPr>
      <w:r>
        <w:rPr>
          <w:rFonts w:ascii="Courier new" w:hAnsi="Courier new"/>
          <w:sz w:val="18"/>
          <w:szCs w:val="18"/>
        </w:rPr>
        <w:t>loaders</w:t>
      </w:r>
      <w:r>
        <w:rPr/>
        <w:t>: This directory contains the loader plugins. The 3D-ICE plugin interface exposes a C API that is directly accessible by C/C++ programs without a loader. Loaders are used to support co-simulation with higher level programming languages.</w:t>
      </w:r>
    </w:p>
    <w:p>
      <w:pPr>
        <w:pStyle w:val="Normal"/>
        <w:numPr>
          <w:ilvl w:val="0"/>
          <w:numId w:val="0"/>
        </w:numPr>
        <w:ind w:left="720" w:hanging="0"/>
        <w:jc w:val="both"/>
        <w:rPr/>
      </w:pPr>
      <w:r>
        <w:rPr/>
        <w:t>Two loaders are currently supported:</w:t>
      </w:r>
    </w:p>
    <w:p>
      <w:pPr>
        <w:pStyle w:val="Normal"/>
        <w:numPr>
          <w:ilvl w:val="1"/>
          <w:numId w:val="34"/>
        </w:numPr>
        <w:jc w:val="both"/>
        <w:rPr/>
      </w:pPr>
      <w:r>
        <w:rPr/>
        <w:t>FMI: Allows to load plugins that conform to the FMI, or Functional Mockup Interface (https://fmi-standard.org/). This loader is targeted mainly at Modelica models. This is the only loader that performs grid pitch mapping between the finite volume grid used by 3D-ICE and the plugin, as doing this part in C++ is much faster than doing it in Modelica.</w:t>
      </w:r>
    </w:p>
    <w:p>
      <w:pPr>
        <w:pStyle w:val="Normal"/>
        <w:numPr>
          <w:ilvl w:val="1"/>
          <w:numId w:val="34"/>
        </w:numPr>
        <w:jc w:val="both"/>
        <w:rPr/>
      </w:pPr>
      <w:r>
        <w:rPr/>
        <w:t>Python: Allows to load a python file as a plugin.</w:t>
      </w:r>
    </w:p>
    <w:p>
      <w:pPr>
        <w:pStyle w:val="Normal"/>
        <w:numPr>
          <w:ilvl w:val="0"/>
          <w:numId w:val="34"/>
        </w:numPr>
        <w:jc w:val="both"/>
        <w:rPr/>
      </w:pPr>
      <w:r>
        <w:rPr>
          <w:rFonts w:ascii="Courier new" w:hAnsi="Courier new"/>
          <w:sz w:val="18"/>
          <w:szCs w:val="18"/>
        </w:rPr>
        <w:t>templates</w:t>
      </w:r>
      <w:r>
        <w:rPr/>
        <w:t>: This directory contains example code intended for users who want to learn how to write a plugin.</w:t>
      </w:r>
    </w:p>
    <w:p>
      <w:pPr>
        <w:pStyle w:val="Normal"/>
        <w:numPr>
          <w:ilvl w:val="0"/>
          <w:numId w:val="34"/>
        </w:numPr>
        <w:jc w:val="both"/>
        <w:rPr/>
      </w:pPr>
      <w:r>
        <w:rPr>
          <w:rFonts w:ascii="Courier new" w:hAnsi="Courier new"/>
          <w:sz w:val="18"/>
          <w:szCs w:val="18"/>
        </w:rPr>
        <w:t>heatsinks</w:t>
      </w:r>
      <w:r>
        <w:rPr/>
        <w:t>: This directory contains heat sink models.</w:t>
      </w:r>
    </w:p>
    <w:p>
      <w:pPr>
        <w:pStyle w:val="Normal"/>
        <w:numPr>
          <w:ilvl w:val="0"/>
          <w:numId w:val="34"/>
        </w:numPr>
        <w:jc w:val="both"/>
        <w:rPr/>
      </w:pPr>
      <w:r>
        <w:rPr>
          <w:rFonts w:ascii="Courier new" w:hAnsi="Courier new"/>
          <w:sz w:val="18"/>
          <w:szCs w:val="18"/>
        </w:rPr>
        <w:t>common</w:t>
      </w:r>
      <w:r>
        <w:rPr/>
        <w:t>: Contains libraries for building heat sinks.</w:t>
      </w:r>
    </w:p>
    <w:p>
      <w:pPr>
        <w:pStyle w:val="Heading4"/>
        <w:rPr/>
      </w:pPr>
      <w:r>
        <w:rPr/>
      </w:r>
    </w:p>
    <w:p>
      <w:pPr>
        <w:pStyle w:val="Heading4"/>
        <w:rPr/>
      </w:pPr>
      <w:r>
        <w:rPr/>
        <w:t>Writing a heat sink in Modelica</w:t>
      </w:r>
    </w:p>
    <w:p>
      <w:pPr>
        <w:pStyle w:val="Normal"/>
        <w:jc w:val="both"/>
        <w:rPr/>
      </w:pPr>
      <w:r>
        <w:rPr>
          <w:rFonts w:eastAsia="Calibri" w:cs="Courier New" w:eastAsiaTheme="minorHAnsi"/>
          <w:color w:val="00000A"/>
          <w:kern w:val="0"/>
          <w:sz w:val="22"/>
          <w:szCs w:val="22"/>
          <w:lang w:val="en-US" w:eastAsia="en-US" w:bidi="ar-SA"/>
        </w:rPr>
        <w:t xml:space="preserve">Modelica is a declarative object-oriented modeling language. The Modelica syntax allows to write equations as opposed to assignment statements in ordinary imperative programming languages, and supports linear and nonlinear differential equations natively through the </w:t>
      </w:r>
      <w:r>
        <w:rPr>
          <w:rFonts w:eastAsia="Calibri" w:cs="Courier New" w:ascii="Courier new" w:hAnsi="Courier new" w:eastAsiaTheme="minorHAnsi"/>
          <w:color w:val="00000A"/>
          <w:kern w:val="0"/>
          <w:sz w:val="18"/>
          <w:szCs w:val="18"/>
          <w:lang w:val="en-US" w:eastAsia="en-US" w:bidi="ar-SA"/>
        </w:rPr>
        <w:t>der()</w:t>
      </w:r>
      <w:r>
        <w:rPr>
          <w:rFonts w:eastAsia="Calibri" w:cs="Courier New" w:eastAsiaTheme="minorHAnsi"/>
          <w:color w:val="00000A"/>
          <w:kern w:val="0"/>
          <w:sz w:val="22"/>
          <w:szCs w:val="22"/>
          <w:lang w:val="en-US" w:eastAsia="en-US" w:bidi="ar-SA"/>
        </w:rPr>
        <w:t xml:space="preserve"> operator. A Modelica translator uses symbolic equation manipulation to automatically perform the steps needed to produce imperative code that performs the numerical integration of differential equations. OpenModelica is an open source Modelica translator that translates Modelica to C code. Modelica is thus a very convenient choice for the modeling of heat sinks, as it is only necessary to write the heat transfer equations instead of writing the code to solve them. An general introduction to the Modelica language can be found at </w:t>
      </w:r>
      <w:hyperlink r:id="rId32">
        <w:r>
          <w:rPr>
            <w:rStyle w:val="InternetLink"/>
            <w:rFonts w:eastAsia="Calibri" w:cs="Courier New" w:eastAsiaTheme="minorHAnsi"/>
            <w:color w:val="00000A"/>
            <w:kern w:val="0"/>
            <w:sz w:val="22"/>
            <w:szCs w:val="22"/>
            <w:lang w:val="en-US" w:eastAsia="en-US" w:bidi="ar-SA"/>
          </w:rPr>
          <w:t>https://mbe.modelica.university/front/intro</w:t>
        </w:r>
      </w:hyperlink>
    </w:p>
    <w:p>
      <w:pPr>
        <w:pStyle w:val="Normal"/>
        <w:jc w:val="both"/>
        <w:rPr/>
      </w:pPr>
      <w:r>
        <w:rPr>
          <w:rFonts w:eastAsia="Calibri" w:cs="Courier New" w:eastAsiaTheme="minorHAnsi"/>
          <w:color w:val="00000A"/>
          <w:kern w:val="0"/>
          <w:sz w:val="22"/>
          <w:szCs w:val="22"/>
          <w:lang w:val="en-US" w:eastAsia="en-US" w:bidi="ar-SA"/>
        </w:rPr>
        <w:t>At the lowest level, m</w:t>
      </w:r>
      <w:r>
        <w:rPr>
          <w:rFonts w:cs="Courier New"/>
          <w:sz w:val="22"/>
          <w:szCs w:val="22"/>
        </w:rPr>
        <w:t>odeling an heat sink in Modelica for 3D-ICE co-simulation requires to implement a model with the following interface:</w:t>
      </w:r>
    </w:p>
    <w:p>
      <w:pPr>
        <w:pStyle w:val="PreformattedText"/>
        <w:jc w:val="both"/>
        <w:rPr/>
      </w:pPr>
      <w:r>
        <w:rPr>
          <w:rFonts w:cs="Courier New" w:ascii="DejaVu Sans Mono" w:hAnsi="DejaVu Sans Mono"/>
          <w:color w:val="8B0000"/>
          <w:sz w:val="18"/>
          <w:szCs w:val="18"/>
        </w:rPr>
        <w:t>model</w:t>
      </w:r>
      <w:r>
        <w:rPr>
          <w:rFonts w:cs="Courier New" w:ascii="DejaVu Sans Mono" w:hAnsi="DejaVu Sans Mono"/>
          <w:color w:val="000000"/>
          <w:sz w:val="18"/>
          <w:szCs w:val="18"/>
        </w:rPr>
        <w:t xml:space="preserve"> Interface3DICE</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FF0A0A"/>
          <w:sz w:val="18"/>
        </w:rPr>
        <w:t>String</w:t>
      </w:r>
      <w:r>
        <w:rPr>
          <w:color w:val="000000"/>
        </w:rPr>
        <w:t xml:space="preserve"> </w:t>
      </w:r>
      <w:r>
        <w:rPr>
          <w:rFonts w:ascii="DejaVu Sans Mono" w:hAnsi="DejaVu Sans Mono"/>
          <w:color w:val="000000"/>
          <w:sz w:val="18"/>
        </w:rPr>
        <w:t>args;</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Modelica.SIunits.Temperature initialTemperature;</w:t>
      </w:r>
    </w:p>
    <w:p>
      <w:pPr>
        <w:pStyle w:val="PreformattedText"/>
        <w:spacing w:before="0" w:after="0"/>
        <w:ind w:left="0" w:right="0" w:hanging="0"/>
        <w:rPr/>
      </w:pPr>
      <w:r>
        <w:rPr>
          <w:color w:val="000000"/>
        </w:rPr>
        <w:t xml:space="preserve">  </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FF0A0A"/>
          <w:sz w:val="18"/>
        </w:rPr>
        <w:t>Integer</w:t>
      </w:r>
      <w:r>
        <w:rPr>
          <w:color w:val="000000"/>
        </w:rPr>
        <w:t xml:space="preserve"> </w:t>
      </w:r>
      <w:r>
        <w:rPr>
          <w:rFonts w:ascii="DejaVu Sans Mono" w:hAnsi="DejaVu Sans Mono"/>
          <w:color w:val="000000"/>
          <w:sz w:val="18"/>
        </w:rPr>
        <w:t>sinkRows;</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FF0A0A"/>
          <w:sz w:val="18"/>
        </w:rPr>
        <w:t>Integer</w:t>
      </w:r>
      <w:r>
        <w:rPr>
          <w:color w:val="000000"/>
        </w:rPr>
        <w:t xml:space="preserve"> </w:t>
      </w:r>
      <w:r>
        <w:rPr>
          <w:rFonts w:ascii="DejaVu Sans Mono" w:hAnsi="DejaVu Sans Mono"/>
          <w:color w:val="000000"/>
          <w:sz w:val="18"/>
        </w:rPr>
        <w:t>sinkColumns;</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Modelica.SIunits.ThermalConductance sinkCellBottomConductance;</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Modelica.SIunits.Length sinkLength;</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Modelica.SIunits.Length sinkWidth;</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Modelica.SIunits.Length spreaderX0;</w:t>
      </w:r>
    </w:p>
    <w:p>
      <w:pPr>
        <w:pStyle w:val="PreformattedText"/>
        <w:spacing w:before="0" w:after="0"/>
        <w:ind w:left="0" w:right="0" w:hanging="0"/>
        <w:rPr/>
      </w:pPr>
      <w:r>
        <w:rPr>
          <w:color w:val="000000"/>
        </w:rPr>
        <w:t xml:space="preserve">  </w:t>
      </w:r>
      <w:r>
        <w:rPr>
          <w:rFonts w:ascii="DejaVu Sans Mono" w:hAnsi="DejaVu Sans Mono"/>
          <w:color w:val="8B0000"/>
          <w:sz w:val="18"/>
        </w:rPr>
        <w:t>parameter</w:t>
      </w:r>
      <w:r>
        <w:rPr>
          <w:color w:val="000000"/>
        </w:rPr>
        <w:t xml:space="preserve"> </w:t>
      </w:r>
      <w:r>
        <w:rPr>
          <w:rFonts w:ascii="DejaVu Sans Mono" w:hAnsi="DejaVu Sans Mono"/>
          <w:color w:val="000000"/>
          <w:sz w:val="18"/>
        </w:rPr>
        <w:t>Modelica.SIunits.Length spreaderY0;</w:t>
      </w:r>
    </w:p>
    <w:p>
      <w:pPr>
        <w:pStyle w:val="PreformattedText"/>
        <w:spacing w:before="0" w:after="0"/>
        <w:ind w:left="0" w:right="0" w:hanging="0"/>
        <w:rPr/>
      </w:pPr>
      <w:r>
        <w:rPr>
          <w:color w:val="000000"/>
        </w:rPr>
        <w:t xml:space="preserve">  </w:t>
      </w:r>
    </w:p>
    <w:p>
      <w:pPr>
        <w:pStyle w:val="PreformattedText"/>
        <w:spacing w:before="0" w:after="0"/>
        <w:ind w:left="0" w:right="0" w:hanging="0"/>
        <w:rPr/>
      </w:pPr>
      <w:r>
        <w:rPr>
          <w:color w:val="000000"/>
        </w:rPr>
        <w:t xml:space="preserve">  </w:t>
      </w:r>
      <w:r>
        <w:rPr>
          <w:rFonts w:ascii="DejaVu Sans Mono" w:hAnsi="DejaVu Sans Mono"/>
          <w:color w:val="000000"/>
          <w:sz w:val="18"/>
        </w:rPr>
        <w:t>Modelica.Blocks.Interfaces.RealOutput T[sinkRows, sinkColumns];</w:t>
      </w:r>
    </w:p>
    <w:p>
      <w:pPr>
        <w:pStyle w:val="PreformattedText"/>
        <w:spacing w:before="0" w:after="0"/>
        <w:ind w:left="0" w:right="0" w:hanging="0"/>
        <w:rPr/>
      </w:pPr>
      <w:r>
        <w:rPr>
          <w:color w:val="000000"/>
        </w:rPr>
        <w:t xml:space="preserve">  </w:t>
      </w:r>
      <w:r>
        <w:rPr>
          <w:rFonts w:ascii="DejaVu Sans Mono" w:hAnsi="DejaVu Sans Mono"/>
          <w:color w:val="000000"/>
          <w:sz w:val="18"/>
        </w:rPr>
        <w:t xml:space="preserve">Modelica.Blocks.Interfaces.RealInput </w:t>
      </w:r>
      <w:bookmarkStart w:id="105" w:name="__DdeLink__2775_1448524884"/>
      <w:r>
        <w:rPr>
          <w:rFonts w:ascii="DejaVu Sans Mono" w:hAnsi="DejaVu Sans Mono"/>
          <w:color w:val="000000"/>
          <w:sz w:val="18"/>
        </w:rPr>
        <w:t>Q_flow</w:t>
      </w:r>
      <w:bookmarkEnd w:id="105"/>
      <w:r>
        <w:rPr>
          <w:rFonts w:ascii="DejaVu Sans Mono" w:hAnsi="DejaVu Sans Mono"/>
          <w:color w:val="000000"/>
          <w:sz w:val="18"/>
        </w:rPr>
        <w:t>[sinkRows, sinkColumns];</w:t>
      </w:r>
    </w:p>
    <w:p>
      <w:pPr>
        <w:pStyle w:val="PreformattedText"/>
        <w:spacing w:before="0" w:after="0"/>
        <w:ind w:left="0" w:right="0" w:hanging="0"/>
        <w:rPr/>
      </w:pPr>
      <w:r>
        <w:rPr>
          <w:rFonts w:ascii="DejaVu Sans Mono" w:hAnsi="DejaVu Sans Mono"/>
          <w:color w:val="8B0000"/>
          <w:sz w:val="18"/>
        </w:rPr>
        <w:t>end</w:t>
      </w:r>
      <w:r>
        <w:rPr>
          <w:rFonts w:ascii="DejaVu Sans Mono" w:hAnsi="DejaVu Sans Mono"/>
          <w:color w:val="000000"/>
          <w:sz w:val="18"/>
        </w:rPr>
        <w:t xml:space="preserve"> Interface3DICE;</w:t>
      </w:r>
    </w:p>
    <w:p>
      <w:pPr>
        <w:pStyle w:val="PreformattedText"/>
        <w:spacing w:before="0" w:after="0"/>
        <w:ind w:left="0" w:right="0" w:hanging="0"/>
        <w:rPr>
          <w:rFonts w:ascii="DejaVu Sans Mono" w:hAnsi="DejaVu Sans Mono"/>
          <w:color w:val="009600"/>
          <w:sz w:val="18"/>
        </w:rPr>
      </w:pPr>
      <w:r>
        <w:rPr>
          <w:rFonts w:ascii="DejaVu Sans Mono" w:hAnsi="DejaVu Sans Mono"/>
          <w:color w:val="009600"/>
          <w:sz w:val="18"/>
        </w:rPr>
      </w:r>
    </w:p>
    <w:p>
      <w:pPr>
        <w:pStyle w:val="Normal"/>
        <w:jc w:val="both"/>
        <w:rPr/>
      </w:pPr>
      <w:r>
        <w:rPr>
          <w:rFonts w:cs="Courier New"/>
          <w:sz w:val="22"/>
          <w:szCs w:val="22"/>
        </w:rPr>
        <w:t xml:space="preserve">The first two parameters, </w:t>
      </w:r>
      <w:r>
        <w:rPr>
          <w:rFonts w:cs="Courier New" w:ascii="DejaVu Sans Mono" w:hAnsi="DejaVu Sans Mono"/>
          <w:color w:val="000000"/>
          <w:sz w:val="18"/>
          <w:szCs w:val="18"/>
        </w:rPr>
        <w:t>args</w:t>
      </w:r>
      <w:r>
        <w:rPr>
          <w:rFonts w:cs="Courier New"/>
          <w:sz w:val="22"/>
          <w:szCs w:val="22"/>
        </w:rPr>
        <w:t xml:space="preserve"> and </w:t>
      </w:r>
      <w:r>
        <w:rPr>
          <w:rFonts w:cs="Courier New" w:ascii="DejaVu Sans Mono" w:hAnsi="DejaVu Sans Mono"/>
          <w:color w:val="000000"/>
          <w:sz w:val="18"/>
          <w:szCs w:val="18"/>
        </w:rPr>
        <w:t>initialTemperature</w:t>
      </w:r>
      <w:r>
        <w:rPr>
          <w:rFonts w:cs="Courier New"/>
          <w:sz w:val="22"/>
          <w:szCs w:val="22"/>
        </w:rPr>
        <w:t xml:space="preserve"> are set by 3D-ICE at the beginning of the simulation and can be read from the Modelica code.</w:t>
      </w:r>
    </w:p>
    <w:p>
      <w:pPr>
        <w:pStyle w:val="Normal"/>
        <w:jc w:val="both"/>
        <w:rPr/>
      </w:pPr>
      <w:r>
        <w:rPr>
          <w:rFonts w:cs="Courier New"/>
          <w:sz w:val="22"/>
          <w:szCs w:val="22"/>
        </w:rPr>
        <w:t xml:space="preserve">The other parameters define the sink meshing, thermal conductance towards the spreader, and heat sink geometry. These parameters must be set by the plugin as they are read by 3D-ICE to connect the sink to the spreader. The variables </w:t>
      </w:r>
      <w:r>
        <w:rPr>
          <w:rFonts w:cs="Courier New" w:ascii="DejaVu Sans Mono" w:hAnsi="DejaVu Sans Mono"/>
          <w:color w:val="000000"/>
          <w:sz w:val="18"/>
          <w:szCs w:val="22"/>
        </w:rPr>
        <w:t>sinkRows, sinkColumns, sinkCellBottomConductance,  sinkLength, sinkWidth</w:t>
      </w:r>
      <w:r>
        <w:rPr>
          <w:rFonts w:cs="Courier New"/>
          <w:color w:val="000000"/>
          <w:sz w:val="22"/>
          <w:szCs w:val="22"/>
        </w:rPr>
        <w:t xml:space="preserve"> depend on the heat sink geometry and how it has been modeled, therefore they are expected to be constants set in the Modelica code. The last two variables, </w:t>
      </w:r>
      <w:r>
        <w:rPr>
          <w:rFonts w:cs="Courier New" w:ascii="DejaVu Sans Mono" w:hAnsi="DejaVu Sans Mono"/>
          <w:color w:val="000000"/>
          <w:sz w:val="18"/>
          <w:szCs w:val="22"/>
        </w:rPr>
        <w:t>spreaderX0</w:t>
      </w:r>
      <w:r>
        <w:rPr>
          <w:rFonts w:cs="Courier New"/>
          <w:color w:val="000000"/>
          <w:sz w:val="22"/>
          <w:szCs w:val="22"/>
        </w:rPr>
        <w:t xml:space="preserve"> and </w:t>
      </w:r>
      <w:r>
        <w:rPr>
          <w:rFonts w:cs="Courier New" w:ascii="DejaVu Sans Mono" w:hAnsi="DejaVu Sans Mono"/>
          <w:color w:val="000000"/>
          <w:sz w:val="18"/>
          <w:szCs w:val="22"/>
        </w:rPr>
        <w:t>spreaderY0</w:t>
      </w:r>
      <w:r>
        <w:rPr>
          <w:rFonts w:cs="Courier New"/>
          <w:color w:val="000000"/>
          <w:sz w:val="22"/>
          <w:szCs w:val="22"/>
        </w:rPr>
        <w:t xml:space="preserve"> depend on the placement of the sink relative to the spreader, and it is common practice to make them configurable from the 3D-ICE stack file by parsing the </w:t>
      </w:r>
      <w:r>
        <w:rPr>
          <w:rFonts w:cs="Courier New" w:ascii="DejaVu Sans Mono" w:hAnsi="DejaVu Sans Mono"/>
          <w:color w:val="000000"/>
          <w:sz w:val="18"/>
          <w:szCs w:val="22"/>
        </w:rPr>
        <w:t>args</w:t>
      </w:r>
      <w:r>
        <w:rPr>
          <w:rFonts w:cs="Courier New"/>
          <w:color w:val="000000"/>
          <w:sz w:val="22"/>
          <w:szCs w:val="22"/>
        </w:rPr>
        <w:t xml:space="preserve"> variable and assigning them from Modelica code.</w:t>
      </w:r>
    </w:p>
    <w:p>
      <w:pPr>
        <w:pStyle w:val="Normal"/>
        <w:jc w:val="both"/>
        <w:rPr/>
      </w:pPr>
      <w:r>
        <w:rPr>
          <w:rFonts w:cs="Courier New"/>
          <w:sz w:val="22"/>
          <w:szCs w:val="22"/>
        </w:rPr>
        <w:t xml:space="preserve">A graphical representation of the  </w:t>
      </w:r>
      <w:r>
        <w:rPr>
          <w:rFonts w:cs="Courier New" w:ascii="DejaVu Sans Mono" w:hAnsi="DejaVu Sans Mono"/>
          <w:color w:val="000000"/>
          <w:sz w:val="18"/>
          <w:szCs w:val="22"/>
        </w:rPr>
        <w:t xml:space="preserve">sinkLength, sinkWidth, spreaderX0,  spreaderY0  </w:t>
      </w:r>
      <w:r>
        <w:rPr>
          <w:rFonts w:cs="Courier New"/>
          <w:color w:val="000000"/>
          <w:sz w:val="22"/>
          <w:szCs w:val="22"/>
        </w:rPr>
        <w:t xml:space="preserve">parameters is shown below. </w:t>
      </w:r>
      <w:r>
        <w:rPr>
          <w:rFonts w:cs="Courier New"/>
          <w:color w:val="000000"/>
          <w:sz w:val="22"/>
          <w:szCs w:val="22"/>
          <w:u w:val="single"/>
        </w:rPr>
        <w:t>Note that Modelica encourages the use of SI units, thus all lengths and widths are in meters, and not in micrometers unlike in 3D-ICE.</w:t>
      </w:r>
    </w:p>
    <w:p>
      <w:pPr>
        <w:pStyle w:val="Normal"/>
        <w:jc w:val="both"/>
        <w:rPr>
          <w:rFonts w:cs="Courier New"/>
          <w:color w:val="000000"/>
          <w:sz w:val="22"/>
          <w:szCs w:val="22"/>
          <w:u w:val="single"/>
        </w:rPr>
      </w:pPr>
      <w:r>
        <w:rPr>
          <w:rFonts w:cs="Courier New"/>
          <w:color w:val="000000"/>
          <w:sz w:val="22"/>
          <w:szCs w:val="22"/>
          <w:u w:val="single"/>
        </w:rPr>
      </w:r>
    </w:p>
    <w:p>
      <w:pPr>
        <w:pStyle w:val="Normal"/>
        <w:jc w:val="both"/>
        <w:rPr>
          <w:rFonts w:cs="Courier New"/>
          <w:color w:val="000000"/>
          <w:sz w:val="22"/>
          <w:szCs w:val="22"/>
          <w:u w:val="single"/>
        </w:rPr>
      </w:pPr>
      <w:r>
        <w:rPr>
          <w:rFonts w:cs="Courier New"/>
          <w:color w:val="000000"/>
          <w:sz w:val="22"/>
          <w:szCs w:val="22"/>
          <w:u w:val="single"/>
        </w:rPr>
      </w:r>
    </w:p>
    <w:p>
      <w:pPr>
        <w:pStyle w:val="Normal"/>
        <w:jc w:val="both"/>
        <w:rPr>
          <w:rFonts w:cs="Courier New"/>
          <w:color w:val="000000"/>
          <w:sz w:val="22"/>
          <w:szCs w:val="22"/>
          <w:u w:val="single"/>
        </w:rPr>
      </w:pPr>
      <w:r>
        <w:rPr>
          <w:rFonts w:cs="Courier New"/>
          <w:color w:val="000000"/>
          <w:sz w:val="22"/>
          <w:szCs w:val="22"/>
          <w:u w:val="single"/>
        </w:rPr>
      </w:r>
    </w:p>
    <w:p>
      <w:pPr>
        <w:pStyle w:val="Normal"/>
        <w:jc w:val="both"/>
        <w:rPr>
          <w:rFonts w:cs="Courier New"/>
          <w:color w:val="000000"/>
          <w:sz w:val="22"/>
          <w:szCs w:val="22"/>
          <w:u w:val="single"/>
        </w:rPr>
      </w:pPr>
      <w:r>
        <w:rPr>
          <w:rFonts w:cs="Courier New"/>
          <w:color w:val="000000"/>
          <w:sz w:val="22"/>
          <w:szCs w:val="22"/>
          <w:u w:val="single"/>
        </w:rPr>
      </w:r>
    </w:p>
    <w:p>
      <w:pPr>
        <w:pStyle w:val="Normal"/>
        <w:jc w:val="both"/>
        <w:rPr>
          <w:rFonts w:cs="Courier New"/>
          <w:color w:val="000000"/>
          <w:sz w:val="22"/>
          <w:szCs w:val="22"/>
          <w:u w:val="single"/>
        </w:rPr>
      </w:pPr>
      <w:r>
        <w:rPr>
          <w:rFonts w:cs="Courier New"/>
          <w:color w:val="000000"/>
          <w:sz w:val="22"/>
          <w:szCs w:val="22"/>
          <w:u w:val="single"/>
        </w:rPr>
      </w:r>
    </w:p>
    <w:p>
      <w:pPr>
        <w:pStyle w:val="Normal"/>
        <w:jc w:val="both"/>
        <w:rPr>
          <w:rFonts w:cs="Courier New"/>
          <w:sz w:val="22"/>
          <w:szCs w:val="22"/>
        </w:rPr>
      </w:pPr>
      <w:r>
        <w:rPr>
          <w:rFonts w:cs="Courier New"/>
          <w:sz w:val="22"/>
          <w:szCs w:val="22"/>
        </w:rPr>
        <mc:AlternateContent>
          <mc:Choice Requires="wps">
            <w:drawing>
              <wp:anchor behindDoc="0" distT="0" distB="0" distL="0" distR="0" simplePos="0" locked="0" layoutInCell="0" allowOverlap="1" relativeHeight="51">
                <wp:simplePos x="0" y="0"/>
                <wp:positionH relativeFrom="column">
                  <wp:posOffset>826135</wp:posOffset>
                </wp:positionH>
                <wp:positionV relativeFrom="paragraph">
                  <wp:posOffset>-59055</wp:posOffset>
                </wp:positionV>
                <wp:extent cx="3760470" cy="3371215"/>
                <wp:effectExtent l="0" t="0" r="0" b="0"/>
                <wp:wrapSquare wrapText="largest"/>
                <wp:docPr id="29" name="Frame10"/>
                <a:graphic xmlns:a="http://schemas.openxmlformats.org/drawingml/2006/main">
                  <a:graphicData uri="http://schemas.microsoft.com/office/word/2010/wordprocessingShape">
                    <wps:wsp>
                      <wps:cNvSpPr/>
                      <wps:spPr>
                        <a:xfrm>
                          <a:off x="0" y="0"/>
                          <a:ext cx="3759840" cy="3370680"/>
                        </a:xfrm>
                        <a:prstGeom prst="rect">
                          <a:avLst/>
                        </a:prstGeom>
                        <a:noFill/>
                        <a:ln w="0">
                          <a:noFill/>
                        </a:ln>
                      </wps:spPr>
                      <wps:style>
                        <a:lnRef idx="0"/>
                        <a:fillRef idx="0"/>
                        <a:effectRef idx="0"/>
                        <a:fontRef idx="minor"/>
                      </wps:style>
                      <wps:txbx>
                        <w:txbxContent>
                          <w:p>
                            <w:pPr>
                              <w:pStyle w:val="Figure"/>
                              <w:spacing w:before="120" w:after="120"/>
                              <w:rPr/>
                            </w:pPr>
                            <w:r>
                              <w:rPr/>
                              <w:drawing>
                                <wp:inline distT="0" distB="0" distL="0" distR="0">
                                  <wp:extent cx="3749675" cy="2781300"/>
                                  <wp:effectExtent l="0" t="0" r="0" b="0"/>
                                  <wp:docPr id="3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5" descr=""/>
                                          <pic:cNvPicPr>
                                            <a:picLocks noChangeAspect="1" noChangeArrowheads="1"/>
                                          </pic:cNvPicPr>
                                        </pic:nvPicPr>
                                        <pic:blipFill>
                                          <a:blip r:embed="rId33"/>
                                          <a:stretch>
                                            <a:fillRect/>
                                          </a:stretch>
                                        </pic:blipFill>
                                        <pic:spPr bwMode="auto">
                                          <a:xfrm>
                                            <a:off x="0" y="0"/>
                                            <a:ext cx="3749675" cy="2781300"/>
                                          </a:xfrm>
                                          <a:prstGeom prst="rect">
                                            <a:avLst/>
                                          </a:prstGeom>
                                        </pic:spPr>
                                      </pic:pic>
                                    </a:graphicData>
                                  </a:graphic>
                                </wp:inline>
                              </w:drawing>
                            </w:r>
                            <w:r>
                              <w:rPr>
                                <w:color w:val="000000"/>
                              </w:rPr>
                              <w:t>Figure 22: Mapping between a generic sized heat sink and the heat spreader</w:t>
                            </w:r>
                          </w:p>
                        </w:txbxContent>
                      </wps:txbx>
                      <wps:bodyPr lIns="0" rIns="0" tIns="0" bIns="0" anchor="t">
                        <a:noAutofit/>
                      </wps:bodyPr>
                    </wps:wsp>
                  </a:graphicData>
                </a:graphic>
              </wp:anchor>
            </w:drawing>
          </mc:Choice>
          <mc:Fallback>
            <w:pict>
              <v:rect id="shape_0" ID="Frame10" path="m0,0l-2147483645,0l-2147483645,-2147483646l0,-2147483646xe" stroked="f" o:allowincell="f" style="position:absolute;margin-left:65.05pt;margin-top:-4.65pt;width:296pt;height:265.35pt;mso-wrap-style:square;v-text-anchor:top">
                <v:fill o:detectmouseclick="t" on="false"/>
                <v:stroke color="#3465a4" joinstyle="round" endcap="flat"/>
                <v:textbox>
                  <w:txbxContent>
                    <w:p>
                      <w:pPr>
                        <w:pStyle w:val="Figure"/>
                        <w:spacing w:before="120" w:after="120"/>
                        <w:rPr/>
                      </w:pPr>
                      <w:r>
                        <w:rPr/>
                        <w:drawing>
                          <wp:inline distT="0" distB="0" distL="0" distR="0">
                            <wp:extent cx="3749675" cy="2781300"/>
                            <wp:effectExtent l="0" t="0" r="0" b="0"/>
                            <wp:docPr id="3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5" descr=""/>
                                    <pic:cNvPicPr>
                                      <a:picLocks noChangeAspect="1" noChangeArrowheads="1"/>
                                    </pic:cNvPicPr>
                                  </pic:nvPicPr>
                                  <pic:blipFill>
                                    <a:blip r:embed="rId34"/>
                                    <a:stretch>
                                      <a:fillRect/>
                                    </a:stretch>
                                  </pic:blipFill>
                                  <pic:spPr bwMode="auto">
                                    <a:xfrm>
                                      <a:off x="0" y="0"/>
                                      <a:ext cx="3749675" cy="2781300"/>
                                    </a:xfrm>
                                    <a:prstGeom prst="rect">
                                      <a:avLst/>
                                    </a:prstGeom>
                                  </pic:spPr>
                                </pic:pic>
                              </a:graphicData>
                            </a:graphic>
                          </wp:inline>
                        </w:drawing>
                      </w:r>
                      <w:r>
                        <w:rPr>
                          <w:color w:val="000000"/>
                        </w:rPr>
                        <w:t>Figure 22: Mapping between a generic sized heat sink and the heat spreader</w:t>
                      </w:r>
                    </w:p>
                  </w:txbxContent>
                </v:textbox>
                <w10:wrap type="square" side="largest"/>
              </v:rect>
            </w:pict>
          </mc:Fallback>
        </mc:AlternateContent>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rFonts w:cs="Courier New"/>
          <w:sz w:val="22"/>
          <w:szCs w:val="22"/>
        </w:rPr>
      </w:pPr>
      <w:r>
        <w:rPr>
          <w:rFonts w:cs="Courier New"/>
          <w:sz w:val="22"/>
          <w:szCs w:val="22"/>
        </w:rPr>
      </w:r>
    </w:p>
    <w:p>
      <w:pPr>
        <w:pStyle w:val="Normal"/>
        <w:jc w:val="both"/>
        <w:rPr/>
      </w:pPr>
      <w:r>
        <w:rPr>
          <w:rFonts w:cs="Courier New"/>
          <w:sz w:val="22"/>
          <w:szCs w:val="22"/>
        </w:rPr>
        <w:t xml:space="preserve">Finally, the </w:t>
      </w:r>
      <w:r>
        <w:rPr>
          <w:rFonts w:cs="Courier New" w:ascii="DejaVu Sans Mono" w:hAnsi="DejaVu Sans Mono"/>
          <w:color w:val="000000"/>
          <w:sz w:val="18"/>
          <w:szCs w:val="22"/>
        </w:rPr>
        <w:t>T</w:t>
      </w:r>
      <w:r>
        <w:rPr>
          <w:rFonts w:cs="Courier New" w:ascii="DejaVu Sans Mono" w:hAnsi="DejaVu Sans Mono"/>
          <w:color w:val="000000"/>
          <w:sz w:val="18"/>
          <w:szCs w:val="18"/>
        </w:rPr>
        <w:t xml:space="preserve"> </w:t>
      </w:r>
      <w:r>
        <w:rPr>
          <w:rFonts w:cs="Courier New"/>
          <w:sz w:val="22"/>
          <w:szCs w:val="22"/>
        </w:rPr>
        <w:t xml:space="preserve">variable is the heat sink bottom temperature, that 3D-ICE reads at every simulation step, and </w:t>
      </w:r>
      <w:r>
        <w:rPr>
          <w:rFonts w:cs="Courier New" w:ascii="DejaVu Sans Mono" w:hAnsi="DejaVu Sans Mono"/>
          <w:color w:val="000000"/>
          <w:sz w:val="18"/>
          <w:szCs w:val="22"/>
        </w:rPr>
        <w:t>Q_flow</w:t>
      </w:r>
      <w:r>
        <w:rPr>
          <w:rFonts w:cs="Courier New"/>
          <w:sz w:val="22"/>
          <w:szCs w:val="22"/>
        </w:rPr>
        <w:t xml:space="preserve"> is the heat flow towards the heat sink, that 3D-ICE sets at each simulation step.</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 xml:space="preserve">Convenience libraries are provided in the </w:t>
      </w:r>
      <w:r>
        <w:rPr>
          <w:rFonts w:eastAsia="Calibri" w:cs="Courier New" w:ascii="Courier new" w:hAnsi="Courier new" w:eastAsiaTheme="minorHAnsi"/>
          <w:color w:val="00000A"/>
          <w:kern w:val="0"/>
          <w:sz w:val="18"/>
          <w:szCs w:val="18"/>
          <w:lang w:val="en-US" w:eastAsia="en-US" w:bidi="ar-SA"/>
        </w:rPr>
        <w:t>common</w:t>
      </w:r>
      <w:r>
        <w:rPr>
          <w:rFonts w:eastAsia="Calibri" w:cs="Courier New" w:eastAsiaTheme="minorHAnsi"/>
          <w:color w:val="00000A"/>
          <w:kern w:val="0"/>
          <w:sz w:val="22"/>
          <w:szCs w:val="22"/>
          <w:lang w:val="en-US" w:eastAsia="en-US" w:bidi="ar-SA"/>
        </w:rPr>
        <w:t xml:space="preserve"> directory to abstract this interface using Modelica object-oriented features.</w:t>
      </w:r>
    </w:p>
    <w:p>
      <w:pPr>
        <w:pStyle w:val="Normal"/>
        <w:numPr>
          <w:ilvl w:val="0"/>
          <w:numId w:val="35"/>
        </w:numPr>
        <w:jc w:val="both"/>
        <w:rPr/>
      </w:pPr>
      <w:r>
        <w:rPr>
          <w:rFonts w:eastAsia="Calibri" w:cs="Courier New" w:eastAsiaTheme="minorHAnsi"/>
          <w:color w:val="00000A"/>
          <w:kern w:val="0"/>
          <w:sz w:val="22"/>
          <w:szCs w:val="22"/>
          <w:lang w:val="en-US" w:eastAsia="en-US" w:bidi="ar-SA"/>
        </w:rPr>
        <w:t xml:space="preserve">The </w:t>
      </w:r>
      <w:r>
        <w:rPr>
          <w:rFonts w:eastAsia="Calibri" w:cs="Courier New" w:ascii="Couruer new" w:hAnsi="Couruer new" w:eastAsiaTheme="minorHAnsi"/>
          <w:color w:val="00000A"/>
          <w:kern w:val="0"/>
          <w:sz w:val="18"/>
          <w:szCs w:val="18"/>
          <w:lang w:val="en-US" w:eastAsia="en-US" w:bidi="ar-SA"/>
        </w:rPr>
        <w:t>HeatsinkBlocks.PartialModels.Interface3DICE</w:t>
      </w:r>
      <w:r>
        <w:rPr>
          <w:rFonts w:eastAsia="Calibri" w:cs="Courier New" w:eastAsiaTheme="minorHAnsi"/>
          <w:color w:val="00000A"/>
          <w:kern w:val="0"/>
          <w:sz w:val="22"/>
          <w:szCs w:val="22"/>
          <w:lang w:val="en-US" w:eastAsia="en-US" w:bidi="ar-SA"/>
        </w:rPr>
        <w:t xml:space="preserve"> is a base class that implements the </w:t>
      </w:r>
      <w:r>
        <w:rPr>
          <w:rFonts w:eastAsia="Calibri" w:cs="Courier New" w:ascii="DejaVu Sans Mono" w:hAnsi="DejaVu Sans Mono"/>
          <w:color w:val="000000"/>
          <w:kern w:val="0"/>
          <w:sz w:val="18"/>
          <w:szCs w:val="18"/>
          <w:lang w:val="en-US" w:eastAsia="en-US" w:bidi="ar-SA"/>
        </w:rPr>
        <w:t>Interface3DICE</w:t>
      </w:r>
      <w:r>
        <w:rPr>
          <w:rFonts w:eastAsia="Calibri" w:cs="Courier New"/>
          <w:color w:val="000000"/>
          <w:kern w:val="0"/>
          <w:sz w:val="22"/>
          <w:szCs w:val="22"/>
          <w:lang w:val="en-US" w:eastAsia="en-US" w:bidi="ar-SA"/>
        </w:rPr>
        <w:t xml:space="preserve"> interface</w:t>
      </w:r>
      <w:r>
        <w:rPr>
          <w:rFonts w:eastAsia="Calibri" w:cs="Courier New" w:eastAsiaTheme="minorHAnsi"/>
          <w:color w:val="00000A"/>
          <w:kern w:val="0"/>
          <w:sz w:val="22"/>
          <w:szCs w:val="22"/>
          <w:lang w:val="en-US" w:eastAsia="en-US" w:bidi="ar-SA"/>
        </w:rPr>
        <w:t xml:space="preserve"> and includes the boilerplate code required to parse </w:t>
      </w:r>
      <w:r>
        <w:rPr>
          <w:rFonts w:eastAsia="Calibri" w:cs="Courier New" w:ascii="DejaVu Sans Mono" w:hAnsi="DejaVu Sans Mono"/>
          <w:color w:val="000000"/>
          <w:kern w:val="0"/>
          <w:sz w:val="18"/>
          <w:szCs w:val="22"/>
          <w:lang w:val="en-US" w:eastAsia="en-US" w:bidi="ar-SA"/>
        </w:rPr>
        <w:t>args</w:t>
      </w:r>
      <w:r>
        <w:rPr>
          <w:rFonts w:eastAsia="Calibri" w:cs="Courier New" w:eastAsiaTheme="minorHAnsi"/>
          <w:color w:val="00000A"/>
          <w:kern w:val="0"/>
          <w:sz w:val="22"/>
          <w:szCs w:val="22"/>
          <w:lang w:val="en-US" w:eastAsia="en-US" w:bidi="ar-SA"/>
        </w:rPr>
        <w:t xml:space="preserve"> and set </w:t>
      </w:r>
      <w:r>
        <w:rPr>
          <w:rFonts w:eastAsia="Calibri" w:cs="Courier New" w:ascii="DejaVu Sans Mono" w:hAnsi="DejaVu Sans Mono"/>
          <w:color w:val="000000"/>
          <w:kern w:val="0"/>
          <w:sz w:val="18"/>
          <w:szCs w:val="22"/>
          <w:lang w:val="en-US" w:eastAsia="en-US" w:bidi="ar-SA"/>
        </w:rPr>
        <w:t>spreaderX0</w:t>
      </w:r>
      <w:r>
        <w:rPr>
          <w:rFonts w:eastAsia="Calibri" w:cs="Courier New"/>
          <w:color w:val="000000"/>
          <w:kern w:val="0"/>
          <w:sz w:val="22"/>
          <w:szCs w:val="22"/>
          <w:lang w:val="en-US" w:eastAsia="en-US" w:bidi="ar-SA"/>
        </w:rPr>
        <w:t xml:space="preserve"> and </w:t>
      </w:r>
      <w:r>
        <w:rPr>
          <w:rFonts w:eastAsia="Calibri" w:cs="Courier New" w:ascii="DejaVu Sans Mono" w:hAnsi="DejaVu Sans Mono"/>
          <w:color w:val="000000"/>
          <w:kern w:val="0"/>
          <w:sz w:val="18"/>
          <w:szCs w:val="22"/>
          <w:lang w:val="en-US" w:eastAsia="en-US" w:bidi="ar-SA"/>
        </w:rPr>
        <w:t>spreaderY0</w:t>
      </w:r>
      <w:r>
        <w:rPr>
          <w:rFonts w:eastAsia="Calibri" w:cs="Courier New" w:eastAsiaTheme="minorHAnsi"/>
          <w:color w:val="00000A"/>
          <w:kern w:val="0"/>
          <w:sz w:val="22"/>
          <w:szCs w:val="22"/>
          <w:lang w:val="en-US" w:eastAsia="en-US" w:bidi="ar-SA"/>
        </w:rPr>
        <w:t>, as well as code for forwarding of all other parameters from a redeclarable heat sink model. Further parameter parsing is possible in extended classes, providing a generic way to pass arbitrary parameters from the 3D-ICE stack description to heat sinks. This class also maps the causal interface of the the FMI into a-causal heat ports as commonly used to model heat exchange in Modelica.</w:t>
      </w:r>
    </w:p>
    <w:p>
      <w:pPr>
        <w:pStyle w:val="Normal"/>
        <w:numPr>
          <w:ilvl w:val="0"/>
          <w:numId w:val="35"/>
        </w:numPr>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 xml:space="preserve">The </w:t>
      </w:r>
      <w:r>
        <w:rPr>
          <w:rFonts w:eastAsia="Calibri" w:cs="Courier New" w:ascii="Couruer new" w:hAnsi="Couruer new" w:eastAsiaTheme="minorHAnsi"/>
          <w:color w:val="00000A"/>
          <w:kern w:val="0"/>
          <w:sz w:val="18"/>
          <w:szCs w:val="18"/>
          <w:lang w:val="en-US" w:eastAsia="en-US" w:bidi="ar-SA"/>
        </w:rPr>
        <w:t>HeatsinkBlocks.PartialModels.Heatsink</w:t>
      </w:r>
      <w:r>
        <w:rPr>
          <w:rFonts w:eastAsia="Calibri" w:cs="Courier New" w:eastAsiaTheme="minorHAnsi"/>
          <w:color w:val="00000A"/>
          <w:kern w:val="0"/>
          <w:sz w:val="22"/>
          <w:szCs w:val="22"/>
          <w:lang w:val="en-US" w:eastAsia="en-US" w:bidi="ar-SA"/>
        </w:rPr>
        <w:t xml:space="preserve"> is a generic heat sink base class that can be extended to add the differential equations modeling the desired heat sink.</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 xml:space="preserve">The example </w:t>
      </w:r>
      <w:r>
        <w:rPr>
          <w:rFonts w:eastAsia="Calibri" w:cs="Courier New" w:ascii="Courier new" w:hAnsi="Courier new" w:eastAsiaTheme="minorHAnsi"/>
          <w:color w:val="00000A"/>
          <w:kern w:val="0"/>
          <w:sz w:val="18"/>
          <w:szCs w:val="18"/>
          <w:lang w:val="en-US" w:eastAsia="en-US" w:bidi="ar-SA"/>
        </w:rPr>
        <w:t>templates/Modelica</w:t>
      </w:r>
      <w:r>
        <w:rPr>
          <w:rFonts w:eastAsia="Calibri" w:cs="Courier New" w:eastAsiaTheme="minorHAnsi"/>
          <w:color w:val="00000A"/>
          <w:kern w:val="0"/>
          <w:sz w:val="22"/>
          <w:szCs w:val="22"/>
          <w:lang w:val="en-US" w:eastAsia="en-US" w:bidi="ar-SA"/>
        </w:rPr>
        <w:t xml:space="preserve"> can be used as a reference to understand how to write a new heat sink in Modelica. Additionally, looking at the complete heat sinks in the </w:t>
      </w:r>
      <w:r>
        <w:rPr>
          <w:rFonts w:eastAsia="Calibri" w:cs="Courier New" w:ascii="Courier new" w:hAnsi="Courier new" w:eastAsiaTheme="minorHAnsi"/>
          <w:color w:val="00000A"/>
          <w:kern w:val="0"/>
          <w:sz w:val="18"/>
          <w:szCs w:val="18"/>
          <w:lang w:val="en-US" w:eastAsia="en-US" w:bidi="ar-SA"/>
        </w:rPr>
        <w:t>heatsinks</w:t>
      </w:r>
      <w:r>
        <w:rPr>
          <w:rFonts w:eastAsia="Calibri" w:cs="Courier New" w:eastAsiaTheme="minorHAnsi"/>
          <w:color w:val="00000A"/>
          <w:kern w:val="0"/>
          <w:sz w:val="22"/>
          <w:szCs w:val="22"/>
          <w:lang w:val="en-US" w:eastAsia="en-US" w:bidi="ar-SA"/>
        </w:rPr>
        <w:t xml:space="preserve"> directory can be useful as well.</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Heading4"/>
        <w:rPr>
          <w:rFonts w:ascii="Calibri" w:hAnsi="Calibri" w:eastAsia="Calibri" w:cs="Courier New" w:asciiTheme="minorHAnsi" w:eastAsiaTheme="minorHAnsi" w:hAnsiTheme="minorHAnsi"/>
          <w:color w:val="00000A"/>
          <w:kern w:val="0"/>
          <w:sz w:val="22"/>
          <w:szCs w:val="22"/>
          <w:lang w:val="en-US" w:eastAsia="en-US" w:bidi="ar-SA"/>
        </w:rPr>
      </w:pPr>
      <w:r>
        <w:rPr/>
        <w:t>Editing a Modelica Heatsink using the OMEdit editor</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OMEdit is a Modelica IDE, part of the OpenModelica package to simplify writing Modelica code. Although a complete guide would stray from the purpose of this document, it is important, when loading heat sink model using this editor to first load the required libraries in the correct order. First load the ThermalBlocks library, then the HeatsinkBlocks one and finally the model you intend to edit.</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drawing>
          <wp:anchor behindDoc="0" distT="0" distB="0" distL="0" distR="0" simplePos="0" locked="0" layoutInCell="0" allowOverlap="1" relativeHeight="53">
            <wp:simplePos x="0" y="0"/>
            <wp:positionH relativeFrom="column">
              <wp:posOffset>-13970</wp:posOffset>
            </wp:positionH>
            <wp:positionV relativeFrom="paragraph">
              <wp:posOffset>-116840</wp:posOffset>
            </wp:positionV>
            <wp:extent cx="1913890" cy="2228215"/>
            <wp:effectExtent l="0" t="0" r="0" b="0"/>
            <wp:wrapSquare wrapText="largest"/>
            <wp:docPr id="3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6" descr=""/>
                    <pic:cNvPicPr>
                      <a:picLocks noChangeAspect="1" noChangeArrowheads="1"/>
                    </pic:cNvPicPr>
                  </pic:nvPicPr>
                  <pic:blipFill>
                    <a:blip r:embed="rId35"/>
                    <a:stretch>
                      <a:fillRect/>
                    </a:stretch>
                  </pic:blipFill>
                  <pic:spPr bwMode="auto">
                    <a:xfrm>
                      <a:off x="0" y="0"/>
                      <a:ext cx="1913890" cy="2228215"/>
                    </a:xfrm>
                    <a:prstGeom prst="rect">
                      <a:avLst/>
                    </a:prstGeom>
                  </pic:spPr>
                </pic:pic>
              </a:graphicData>
            </a:graphic>
          </wp:anchor>
        </w:drawing>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Heading4"/>
        <w:rPr>
          <w:rFonts w:eastAsia="" w:cs="" w:cstheme="majorBidi" w:eastAsiaTheme="majorEastAsia"/>
          <w:b/>
          <w:b/>
          <w:bCs/>
          <w:i/>
          <w:i/>
          <w:iCs/>
          <w:color w:val="800000"/>
          <w:kern w:val="0"/>
          <w:sz w:val="22"/>
          <w:szCs w:val="22"/>
          <w:lang w:val="en-US" w:eastAsia="en-US" w:bidi="ar-SA"/>
        </w:rPr>
      </w:pPr>
      <w:r>
        <w:rPr>
          <w:rFonts w:eastAsia="" w:cs="" w:cstheme="majorBidi" w:eastAsiaTheme="majorEastAsia"/>
          <w:b/>
          <w:bCs/>
          <w:i/>
          <w:iCs/>
          <w:color w:val="800000"/>
          <w:kern w:val="0"/>
          <w:sz w:val="22"/>
          <w:szCs w:val="22"/>
          <w:lang w:val="en-US" w:eastAsia="en-US" w:bidi="ar-SA"/>
        </w:rPr>
      </w:r>
    </w:p>
    <w:p>
      <w:pPr>
        <w:pStyle w:val="Heading4"/>
        <w:rPr>
          <w:rFonts w:eastAsia="" w:cs="" w:cstheme="majorBidi" w:eastAsiaTheme="majorEastAsia"/>
          <w:b/>
          <w:b/>
          <w:bCs/>
          <w:i/>
          <w:i/>
          <w:iCs/>
          <w:color w:val="800000"/>
          <w:kern w:val="0"/>
          <w:sz w:val="22"/>
          <w:szCs w:val="22"/>
          <w:lang w:val="en-US" w:eastAsia="en-US" w:bidi="ar-SA"/>
        </w:rPr>
      </w:pPr>
      <w:r>
        <w:rPr>
          <w:rFonts w:eastAsia="" w:cs="" w:cstheme="majorBidi" w:eastAsiaTheme="majorEastAsia"/>
          <w:b/>
          <w:bCs/>
          <w:i/>
          <w:iCs/>
          <w:color w:val="800000"/>
          <w:kern w:val="0"/>
          <w:sz w:val="22"/>
          <w:szCs w:val="22"/>
          <w:lang w:val="en-US" w:eastAsia="en-US" w:bidi="ar-SA"/>
        </w:rPr>
      </w:r>
    </w:p>
    <w:p>
      <w:pPr>
        <w:pStyle w:val="Heading4"/>
        <w:rPr>
          <w:rFonts w:eastAsia="" w:cs="" w:cstheme="majorBidi" w:eastAsiaTheme="majorEastAsia"/>
          <w:b/>
          <w:b/>
          <w:bCs/>
          <w:i/>
          <w:i/>
          <w:iCs/>
          <w:color w:val="800000"/>
          <w:kern w:val="0"/>
          <w:sz w:val="22"/>
          <w:szCs w:val="22"/>
          <w:lang w:val="en-US" w:eastAsia="en-US" w:bidi="ar-SA"/>
        </w:rPr>
      </w:pPr>
      <w:r>
        <w:rPr>
          <w:rFonts w:eastAsia="" w:cs="" w:cstheme="majorBidi" w:eastAsiaTheme="majorEastAsia"/>
          <w:b/>
          <w:bCs/>
          <w:i/>
          <w:iCs/>
          <w:color w:val="800000"/>
          <w:kern w:val="0"/>
          <w:sz w:val="22"/>
          <w:szCs w:val="22"/>
          <w:lang w:val="en-US" w:eastAsia="en-US" w:bidi="ar-SA"/>
        </w:rPr>
      </w:r>
    </w:p>
    <w:p>
      <w:pPr>
        <w:pStyle w:val="Heading4"/>
        <w:rPr/>
      </w:pPr>
      <w:r>
        <w:rPr>
          <w:rFonts w:eastAsia="" w:cs="" w:cstheme="majorBidi" w:eastAsiaTheme="majorEastAsia"/>
          <w:b/>
          <w:bCs/>
          <w:i/>
          <w:iCs/>
          <w:color w:val="800000"/>
          <w:kern w:val="0"/>
          <w:sz w:val="22"/>
          <w:szCs w:val="22"/>
          <w:lang w:val="en-US" w:eastAsia="en-US" w:bidi="ar-SA"/>
        </w:rPr>
        <w:t>Using</w:t>
      </w:r>
      <w:r>
        <w:rPr/>
        <w:t xml:space="preserve"> a heat sink written in Modelica</w:t>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 xml:space="preserve">Modelica heat sinks require the FMI loader plugin to be interfaced to 3D-ICE, thus the plugin to be loaded is always </w:t>
      </w:r>
      <w:r>
        <w:rPr>
          <w:rFonts w:eastAsia="Calibri" w:cs="Courier New" w:ascii="Courier new" w:hAnsi="Courier new" w:eastAsiaTheme="minorHAnsi"/>
          <w:color w:val="00000A"/>
          <w:kern w:val="0"/>
          <w:sz w:val="18"/>
          <w:szCs w:val="18"/>
          <w:lang w:val="en-US" w:eastAsia="en-US" w:bidi="ar-SA"/>
        </w:rPr>
        <w:t>fmi_loader.so</w:t>
      </w:r>
      <w:r>
        <w:rPr>
          <w:rFonts w:eastAsia="Calibri" w:cs="Courier New" w:eastAsiaTheme="minorHAnsi"/>
          <w:color w:val="00000A"/>
          <w:kern w:val="0"/>
          <w:sz w:val="22"/>
          <w:szCs w:val="22"/>
          <w:lang w:val="en-US" w:eastAsia="en-US" w:bidi="ar-SA"/>
        </w:rPr>
        <w:t xml:space="preserve">. This is an example taken from  </w:t>
      </w:r>
      <w:r>
        <w:rPr>
          <w:rFonts w:eastAsia="Calibri" w:cs="Courier New" w:ascii="Courier new" w:hAnsi="Courier new" w:eastAsiaTheme="minorHAnsi"/>
          <w:color w:val="00000A"/>
          <w:kern w:val="0"/>
          <w:sz w:val="18"/>
          <w:szCs w:val="18"/>
          <w:lang w:val="en-US" w:eastAsia="en-US" w:bidi="ar-SA"/>
        </w:rPr>
        <w:t>templates/Modelica</w:t>
      </w:r>
    </w:p>
    <w:p>
      <w:pPr>
        <w:pStyle w:val="Normal"/>
        <w:spacing w:lineRule="auto" w:line="240" w:before="0" w:after="86"/>
        <w:jc w:val="both"/>
        <w:rPr/>
      </w:pPr>
      <w:r>
        <w:rPr>
          <w:rFonts w:eastAsia="Calibri" w:cs="Courier New" w:ascii="Courier new" w:hAnsi="Courier new" w:eastAsiaTheme="minorHAnsi"/>
          <w:color w:val="00000A"/>
          <w:kern w:val="0"/>
          <w:sz w:val="16"/>
          <w:szCs w:val="16"/>
          <w:lang w:val="en-US" w:eastAsia="en-US" w:bidi="ar-SA"/>
        </w:rPr>
        <w:t>top pluggable heat sink :</w:t>
      </w:r>
    </w:p>
    <w:p>
      <w:pPr>
        <w:pStyle w:val="Normal"/>
        <w:spacing w:lineRule="auto" w:line="240" w:before="0" w:after="86"/>
        <w:jc w:val="both"/>
        <w:rPr/>
      </w:pPr>
      <w:r>
        <w:rPr>
          <w:rFonts w:eastAsia="Calibri" w:cs="Courier New" w:ascii="Courier new" w:hAnsi="Courier new" w:eastAsiaTheme="minorHAnsi"/>
          <w:color w:val="00000A"/>
          <w:kern w:val="0"/>
          <w:sz w:val="16"/>
          <w:szCs w:val="16"/>
          <w:lang w:val="en-US" w:eastAsia="en-US" w:bidi="ar-SA"/>
        </w:rPr>
        <w:tab/>
        <w:t>spreader length 20000 , width 20000 , height 1000 ;</w:t>
      </w:r>
    </w:p>
    <w:p>
      <w:pPr>
        <w:pStyle w:val="Normal"/>
        <w:spacing w:lineRule="auto" w:line="240" w:before="0" w:after="86"/>
        <w:jc w:val="both"/>
        <w:rPr/>
      </w:pPr>
      <w:r>
        <w:rPr>
          <w:rFonts w:eastAsia="Calibri" w:cs="Courier New" w:ascii="Courier new" w:hAnsi="Courier new" w:eastAsiaTheme="minorHAnsi"/>
          <w:color w:val="00000A"/>
          <w:kern w:val="0"/>
          <w:sz w:val="16"/>
          <w:szCs w:val="16"/>
          <w:lang w:val="en-US" w:eastAsia="en-US" w:bidi="ar-SA"/>
        </w:rPr>
        <w:tab/>
        <w:t>material COPPER ;</w:t>
      </w:r>
    </w:p>
    <w:p>
      <w:pPr>
        <w:pStyle w:val="Normal"/>
        <w:spacing w:lineRule="auto" w:line="240" w:before="0" w:after="86"/>
        <w:jc w:val="both"/>
        <w:rPr/>
      </w:pPr>
      <w:r>
        <w:rPr>
          <w:rFonts w:eastAsia="Calibri" w:cs="Courier New" w:ascii="Courier new" w:hAnsi="Courier new" w:eastAsiaTheme="minorHAnsi"/>
          <w:color w:val="00000A"/>
          <w:kern w:val="0"/>
          <w:sz w:val="16"/>
          <w:szCs w:val="16"/>
          <w:lang w:val="en-US" w:eastAsia="en-US" w:bidi="ar-SA"/>
        </w:rPr>
        <w:tab/>
        <w:t>plugin "../../loaders/FMI/fmi_loader.so", "Heatsink.TestHeatsink_Interface3DICE 0.0 0.0";</w:t>
      </w:r>
    </w:p>
    <w:p>
      <w:pPr>
        <w:pStyle w:val="Normal"/>
        <w:spacing w:lineRule="auto" w:line="240" w:before="0" w:after="86"/>
        <w:jc w:val="both"/>
        <w:rPr>
          <w:rFonts w:ascii="Courier new" w:hAnsi="Courier new" w:eastAsia="Calibri" w:cs="Courier New" w:eastAsiaTheme="minorHAnsi"/>
          <w:color w:val="00000A"/>
          <w:kern w:val="0"/>
          <w:sz w:val="16"/>
          <w:szCs w:val="16"/>
          <w:lang w:val="en-US" w:eastAsia="en-US" w:bidi="ar-SA"/>
        </w:rPr>
      </w:pPr>
      <w:r>
        <w:rPr>
          <w:rFonts w:eastAsia="Calibri" w:cs="Courier New" w:eastAsiaTheme="minorHAnsi" w:ascii="Courier new" w:hAnsi="Courier new"/>
          <w:color w:val="00000A"/>
          <w:kern w:val="0"/>
          <w:sz w:val="16"/>
          <w:szCs w:val="16"/>
          <w:lang w:val="en-US" w:eastAsia="en-US" w:bidi="ar-SA"/>
        </w:rPr>
      </w:r>
    </w:p>
    <w:p>
      <w:pPr>
        <w:pStyle w:val="Normal"/>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t xml:space="preserve">The FMI loader interprets the first argument in the args string as the name of the top level model to load, in this case </w:t>
      </w:r>
      <w:r>
        <w:rPr>
          <w:rFonts w:eastAsia="Calibri" w:cs="Courier New" w:ascii="Courier new" w:hAnsi="Courier new" w:eastAsiaTheme="minorHAnsi"/>
          <w:color w:val="00000A"/>
          <w:kern w:val="0"/>
          <w:sz w:val="18"/>
          <w:szCs w:val="18"/>
          <w:lang w:val="en-US" w:eastAsia="en-US" w:bidi="ar-SA"/>
        </w:rPr>
        <w:t>Heatsink.TestHeatsink_Interface3DICE</w:t>
      </w:r>
      <w:r>
        <w:rPr>
          <w:rFonts w:eastAsia="Calibri" w:cs="Courier New" w:eastAsiaTheme="minorHAnsi"/>
          <w:color w:val="00000A"/>
          <w:kern w:val="0"/>
          <w:sz w:val="22"/>
          <w:szCs w:val="22"/>
          <w:lang w:val="en-US" w:eastAsia="en-US" w:bidi="ar-SA"/>
        </w:rPr>
        <w:t xml:space="preserve">. The name must be fully qualified including the package, and must be a model that implements the  </w:t>
      </w:r>
      <w:r>
        <w:rPr>
          <w:rFonts w:eastAsia="Calibri" w:cs="Courier New" w:ascii="DejaVu Sans Mono" w:hAnsi="DejaVu Sans Mono" w:eastAsiaTheme="minorHAnsi"/>
          <w:color w:val="000000"/>
          <w:kern w:val="0"/>
          <w:sz w:val="18"/>
          <w:szCs w:val="18"/>
          <w:lang w:val="en-US" w:eastAsia="en-US" w:bidi="ar-SA"/>
        </w:rPr>
        <w:t xml:space="preserve">Interface3DICE </w:t>
      </w:r>
      <w:r>
        <w:rPr>
          <w:rFonts w:eastAsia="Calibri" w:cs="Courier New" w:eastAsiaTheme="minorHAnsi"/>
          <w:color w:val="00000A"/>
          <w:kern w:val="0"/>
          <w:sz w:val="22"/>
          <w:szCs w:val="22"/>
          <w:lang w:val="en-US" w:eastAsia="en-US" w:bidi="ar-SA"/>
        </w:rPr>
        <w:t xml:space="preserve">interface. When the model to be loaded has been obtained by extending the the </w:t>
      </w:r>
      <w:r>
        <w:rPr>
          <w:rFonts w:eastAsia="Calibri" w:cs="Courier New" w:ascii="Couruer new" w:hAnsi="Couruer new" w:eastAsiaTheme="minorHAnsi"/>
          <w:color w:val="00000A"/>
          <w:kern w:val="0"/>
          <w:sz w:val="18"/>
          <w:szCs w:val="18"/>
          <w:lang w:val="en-US" w:eastAsia="en-US" w:bidi="ar-SA"/>
        </w:rPr>
        <w:t>HeatsinkBlocks.PartialModels.Interface3DICE</w:t>
      </w:r>
      <w:r>
        <w:rPr>
          <w:rFonts w:eastAsia="Calibri" w:cs="Courier New" w:eastAsiaTheme="minorHAnsi"/>
          <w:color w:val="00000A"/>
          <w:kern w:val="0"/>
          <w:sz w:val="22"/>
          <w:szCs w:val="22"/>
          <w:lang w:val="en-US" w:eastAsia="en-US" w:bidi="ar-SA"/>
        </w:rPr>
        <w:t xml:space="preserve"> interface, there will be two additional parameters that are the to determine how the heat sink is placed on top of the spreader. The first parameter is </w:t>
      </w:r>
      <w:r>
        <w:rPr>
          <w:rFonts w:eastAsia="Calibri" w:cs="Courier New" w:ascii="DejaVu Sans Mono" w:hAnsi="DejaVu Sans Mono" w:eastAsiaTheme="minorHAnsi"/>
          <w:color w:val="000000"/>
          <w:kern w:val="0"/>
          <w:sz w:val="18"/>
          <w:szCs w:val="22"/>
          <w:lang w:val="en-US" w:eastAsia="en-US" w:bidi="ar-SA"/>
        </w:rPr>
        <w:t>spreaderX0</w:t>
      </w:r>
      <w:r>
        <w:rPr>
          <w:rFonts w:eastAsia="Calibri" w:cs="Courier New" w:eastAsiaTheme="minorHAnsi"/>
          <w:color w:val="00000A"/>
          <w:kern w:val="0"/>
          <w:sz w:val="22"/>
          <w:szCs w:val="22"/>
          <w:lang w:val="en-US" w:eastAsia="en-US" w:bidi="ar-SA"/>
        </w:rPr>
        <w:t>, while the second one is</w:t>
      </w:r>
      <w:r>
        <w:rPr>
          <w:rFonts w:eastAsia="Calibri" w:cs="Courier New" w:ascii="DejaVu Sans Mono" w:hAnsi="DejaVu Sans Mono" w:eastAsiaTheme="minorHAnsi"/>
          <w:color w:val="000000"/>
          <w:kern w:val="0"/>
          <w:sz w:val="18"/>
          <w:szCs w:val="22"/>
          <w:lang w:val="en-US" w:eastAsia="en-US" w:bidi="ar-SA"/>
        </w:rPr>
        <w:t xml:space="preserve"> spreaderY0</w:t>
      </w:r>
      <w:r>
        <w:rPr>
          <w:rFonts w:eastAsia="Calibri" w:cs="Courier New" w:eastAsiaTheme="minorHAnsi"/>
          <w:color w:val="00000A"/>
          <w:kern w:val="0"/>
          <w:sz w:val="22"/>
          <w:szCs w:val="22"/>
          <w:lang w:val="en-US" w:eastAsia="en-US" w:bidi="ar-SA"/>
        </w:rPr>
        <w:t xml:space="preserve">. These two parameter are in </w:t>
      </w:r>
      <w:r>
        <w:rPr>
          <w:rFonts w:eastAsia="Calibri" w:cs="Courier New" w:eastAsiaTheme="minorHAnsi"/>
          <w:color w:val="00000A"/>
          <w:kern w:val="0"/>
          <w:sz w:val="22"/>
          <w:szCs w:val="22"/>
          <w:u w:val="single"/>
          <w:lang w:val="en-US" w:eastAsia="en-US" w:bidi="ar-SA"/>
        </w:rPr>
        <w:t>meters</w:t>
      </w:r>
      <w:r>
        <w:rPr>
          <w:rFonts w:eastAsia="Calibri" w:cs="Courier New" w:eastAsiaTheme="minorHAnsi"/>
          <w:color w:val="00000A"/>
          <w:kern w:val="0"/>
          <w:sz w:val="22"/>
          <w:szCs w:val="22"/>
          <w:lang w:val="en-US" w:eastAsia="en-US" w:bidi="ar-SA"/>
        </w:rPr>
        <w:t>, not micrometers. Additional heat-sink specific parameters may be required depending on the heat sink model.</w:t>
      </w:r>
    </w:p>
    <w:p>
      <w:pPr>
        <w:pStyle w:val="Heading4"/>
        <w:rPr/>
      </w:pPr>
      <w:r>
        <w:rPr/>
      </w:r>
    </w:p>
    <w:p>
      <w:pPr>
        <w:pStyle w:val="Heading4"/>
        <w:rPr/>
      </w:pPr>
      <w:r>
        <w:rPr/>
        <w:t>Writing a heat sink in C++ or Python</w:t>
      </w:r>
    </w:p>
    <w:p>
      <w:pPr>
        <w:pStyle w:val="Normal"/>
        <w:jc w:val="both"/>
        <w:rPr/>
      </w:pPr>
      <w:r>
        <w:rPr>
          <w:rFonts w:cs="Courier New"/>
          <w:sz w:val="22"/>
          <w:szCs w:val="22"/>
        </w:rPr>
        <w:t xml:space="preserve">These languages do not provide a native way of solving differential equations. You need to </w:t>
      </w:r>
      <w:r>
        <w:rPr>
          <w:rFonts w:eastAsia="Calibri" w:cs="Courier New" w:eastAsiaTheme="minorHAnsi"/>
          <w:color w:val="00000A"/>
          <w:kern w:val="0"/>
          <w:sz w:val="22"/>
          <w:szCs w:val="22"/>
          <w:lang w:val="en-US" w:eastAsia="en-US" w:bidi="ar-SA"/>
        </w:rPr>
        <w:t>choose</w:t>
      </w:r>
      <w:r>
        <w:rPr>
          <w:rFonts w:cs="Courier New"/>
          <w:sz w:val="22"/>
          <w:szCs w:val="22"/>
        </w:rPr>
        <w:t xml:space="preserve"> appropriate libraries for that. Taking as example the C++ plugin template, modeling an heat sink requires to implement the following class</w:t>
      </w:r>
    </w:p>
    <w:p>
      <w:pPr>
        <w:pStyle w:val="Normal"/>
        <w:spacing w:before="0" w:after="0"/>
        <w:jc w:val="both"/>
        <w:rPr>
          <w:rFonts w:ascii="Courier new" w:hAnsi="Courier new"/>
          <w:sz w:val="18"/>
          <w:szCs w:val="18"/>
        </w:rPr>
      </w:pPr>
      <w:r>
        <w:rPr>
          <w:rFonts w:cs="Courier New" w:ascii="Courier new" w:hAnsi="Courier new"/>
          <w:sz w:val="18"/>
          <w:szCs w:val="18"/>
        </w:rPr>
        <w:t>class HeatSink</w:t>
      </w:r>
    </w:p>
    <w:p>
      <w:pPr>
        <w:pStyle w:val="Normal"/>
        <w:spacing w:before="0" w:after="0"/>
        <w:jc w:val="both"/>
        <w:rPr>
          <w:rFonts w:ascii="Courier new" w:hAnsi="Courier new"/>
          <w:sz w:val="18"/>
          <w:szCs w:val="18"/>
        </w:rPr>
      </w:pPr>
      <w:r>
        <w:rPr>
          <w:rFonts w:cs="Courier New" w:ascii="Courier new" w:hAnsi="Courier new"/>
          <w:sz w:val="18"/>
          <w:szCs w:val="18"/>
        </w:rPr>
        <w:t>{</w:t>
      </w:r>
    </w:p>
    <w:p>
      <w:pPr>
        <w:pStyle w:val="Normal"/>
        <w:spacing w:before="0" w:after="0"/>
        <w:jc w:val="both"/>
        <w:rPr>
          <w:rFonts w:ascii="Courier new" w:hAnsi="Courier new"/>
          <w:sz w:val="18"/>
          <w:szCs w:val="18"/>
        </w:rPr>
      </w:pPr>
      <w:r>
        <w:rPr>
          <w:rFonts w:cs="Courier New" w:ascii="Courier new" w:hAnsi="Courier new"/>
          <w:sz w:val="18"/>
          <w:szCs w:val="18"/>
        </w:rPr>
        <w:t>public:</w:t>
      </w:r>
    </w:p>
    <w:p>
      <w:pPr>
        <w:pStyle w:val="Normal"/>
        <w:spacing w:before="0" w:after="0"/>
        <w:jc w:val="both"/>
        <w:rPr>
          <w:rFonts w:ascii="Courier new" w:hAnsi="Courier new"/>
          <w:sz w:val="18"/>
          <w:szCs w:val="18"/>
        </w:rPr>
      </w:pPr>
      <w:r>
        <w:rPr>
          <w:rFonts w:cs="Courier New" w:ascii="Courier new" w:hAnsi="Courier new"/>
          <w:sz w:val="18"/>
          <w:szCs w:val="18"/>
        </w:rPr>
        <w:t xml:space="preserve">    </w:t>
      </w:r>
      <w:r>
        <w:rPr>
          <w:rFonts w:cs="Courier New" w:ascii="Courier new" w:hAnsi="Courier new"/>
          <w:sz w:val="18"/>
          <w:szCs w:val="18"/>
        </w:rPr>
        <w:t>HeatSink(unsigned int nRows, unsigned int nCols,</w:t>
      </w:r>
    </w:p>
    <w:p>
      <w:pPr>
        <w:pStyle w:val="Normal"/>
        <w:spacing w:before="0" w:after="0"/>
        <w:jc w:val="both"/>
        <w:rPr>
          <w:rFonts w:ascii="Courier new" w:hAnsi="Courier new"/>
          <w:sz w:val="18"/>
          <w:szCs w:val="18"/>
        </w:rPr>
      </w:pPr>
      <w:r>
        <w:rPr>
          <w:rFonts w:cs="Courier New" w:ascii="Courier new" w:hAnsi="Courier new"/>
          <w:sz w:val="18"/>
          <w:szCs w:val="18"/>
        </w:rPr>
        <w:t xml:space="preserve">             </w:t>
      </w:r>
      <w:r>
        <w:rPr>
          <w:rFonts w:cs="Courier New" w:ascii="Courier new" w:hAnsi="Courier new"/>
          <w:sz w:val="18"/>
          <w:szCs w:val="18"/>
        </w:rPr>
        <w:t>double cellWidth,   double cellLength,</w:t>
      </w:r>
    </w:p>
    <w:p>
      <w:pPr>
        <w:pStyle w:val="Normal"/>
        <w:spacing w:before="0" w:after="0"/>
        <w:jc w:val="both"/>
        <w:rPr>
          <w:rFonts w:ascii="Courier new" w:hAnsi="Courier new"/>
          <w:sz w:val="18"/>
          <w:szCs w:val="18"/>
        </w:rPr>
      </w:pPr>
      <w:r>
        <w:rPr>
          <w:rFonts w:cs="Courier New" w:ascii="Courier new" w:hAnsi="Courier new"/>
          <w:sz w:val="18"/>
          <w:szCs w:val="18"/>
        </w:rPr>
        <w:t xml:space="preserve">             </w:t>
      </w:r>
      <w:r>
        <w:rPr>
          <w:rFonts w:cs="Courier New" w:ascii="Courier new" w:hAnsi="Courier new"/>
          <w:sz w:val="18"/>
          <w:szCs w:val="18"/>
        </w:rPr>
        <w:t>double initialTemperature,</w:t>
      </w:r>
    </w:p>
    <w:p>
      <w:pPr>
        <w:pStyle w:val="Normal"/>
        <w:spacing w:before="0" w:after="0"/>
        <w:jc w:val="both"/>
        <w:rPr>
          <w:rFonts w:ascii="Courier new" w:hAnsi="Courier new"/>
          <w:sz w:val="18"/>
          <w:szCs w:val="18"/>
        </w:rPr>
      </w:pPr>
      <w:r>
        <w:rPr>
          <w:rFonts w:cs="Courier New" w:ascii="Courier new" w:hAnsi="Courier new"/>
          <w:sz w:val="18"/>
          <w:szCs w:val="18"/>
        </w:rPr>
        <w:t xml:space="preserve">             </w:t>
      </w:r>
      <w:r>
        <w:rPr>
          <w:rFonts w:cs="Courier New" w:ascii="Courier new" w:hAnsi="Courier new"/>
          <w:sz w:val="18"/>
          <w:szCs w:val="18"/>
        </w:rPr>
        <w:t>double spreaderConductance,</w:t>
      </w:r>
    </w:p>
    <w:p>
      <w:pPr>
        <w:pStyle w:val="Normal"/>
        <w:spacing w:before="0" w:after="0"/>
        <w:jc w:val="both"/>
        <w:rPr/>
      </w:pPr>
      <w:r>
        <w:rPr>
          <w:rFonts w:cs="Courier New" w:ascii="Courier new" w:hAnsi="Courier new"/>
          <w:sz w:val="18"/>
          <w:szCs w:val="18"/>
        </w:rPr>
        <w:t xml:space="preserve">             </w:t>
      </w:r>
      <w:r>
        <w:rPr>
          <w:rFonts w:cs="Courier New" w:ascii="Courier new" w:hAnsi="Courier new"/>
          <w:sz w:val="18"/>
          <w:szCs w:val="18"/>
        </w:rPr>
        <w:t>double timeStep</w:t>
      </w:r>
    </w:p>
    <w:p>
      <w:pPr>
        <w:pStyle w:val="Normal"/>
        <w:spacing w:before="0" w:after="0"/>
        <w:jc w:val="both"/>
        <w:rPr/>
      </w:pPr>
      <w:r>
        <w:rPr>
          <w:rFonts w:cs="Courier New" w:ascii="Courier new" w:hAnsi="Courier new"/>
          <w:sz w:val="18"/>
          <w:szCs w:val="18"/>
        </w:rPr>
        <w:t xml:space="preserve">             </w:t>
      </w:r>
      <w:r>
        <w:rPr>
          <w:rFonts w:cs="Courier New" w:ascii="Courier new" w:hAnsi="Courier new"/>
          <w:sz w:val="18"/>
          <w:szCs w:val="18"/>
        </w:rPr>
        <w:t>const std::string&amp; args);</w:t>
      </w:r>
    </w:p>
    <w:p>
      <w:pPr>
        <w:pStyle w:val="Normal"/>
        <w:spacing w:before="0" w:after="0"/>
        <w:jc w:val="both"/>
        <w:rPr>
          <w:rFonts w:cs="Courier New"/>
        </w:rPr>
      </w:pPr>
      <w:r>
        <w:rPr>
          <w:rFonts w:cs="Courier New"/>
        </w:rPr>
      </w:r>
    </w:p>
    <w:p>
      <w:pPr>
        <w:pStyle w:val="Normal"/>
        <w:spacing w:before="0" w:after="0"/>
        <w:jc w:val="both"/>
        <w:rPr>
          <w:rFonts w:ascii="Courier new" w:hAnsi="Courier new"/>
          <w:sz w:val="18"/>
          <w:szCs w:val="18"/>
        </w:rPr>
      </w:pPr>
      <w:r>
        <w:rPr>
          <w:rFonts w:cs="Courier New" w:ascii="Courier new" w:hAnsi="Courier new"/>
          <w:sz w:val="18"/>
          <w:szCs w:val="18"/>
        </w:rPr>
        <w:t xml:space="preserve">    </w:t>
      </w:r>
      <w:r>
        <w:rPr>
          <w:rFonts w:eastAsia="Calibri" w:cs="Courier New" w:ascii="Courier new" w:hAnsi="Courier new" w:eastAsiaTheme="minorHAnsi"/>
          <w:color w:val="00000A"/>
          <w:kern w:val="0"/>
          <w:sz w:val="18"/>
          <w:szCs w:val="18"/>
          <w:lang w:val="en-US" w:eastAsia="en-US" w:bidi="ar-SA"/>
        </w:rPr>
        <w:t>void</w:t>
      </w:r>
      <w:r>
        <w:rPr>
          <w:rFonts w:cs="Courier New" w:ascii="Courier new" w:hAnsi="Courier new"/>
          <w:sz w:val="18"/>
          <w:szCs w:val="18"/>
        </w:rPr>
        <w:t xml:space="preserve"> simulateStep(const CellMatrix spreaderTemperatures,</w:t>
      </w:r>
    </w:p>
    <w:p>
      <w:pPr>
        <w:pStyle w:val="Normal"/>
        <w:spacing w:before="0" w:after="0"/>
        <w:jc w:val="both"/>
        <w:rPr/>
      </w:pPr>
      <w:r>
        <w:rPr>
          <w:rFonts w:cs="Courier New" w:ascii="Courier new" w:hAnsi="Courier new"/>
          <w:sz w:val="18"/>
          <w:szCs w:val="18"/>
        </w:rPr>
        <w:t xml:space="preserve">                            </w:t>
      </w:r>
      <w:r>
        <w:rPr>
          <w:rFonts w:cs="Courier New" w:ascii="Courier new" w:hAnsi="Courier new"/>
          <w:sz w:val="18"/>
          <w:szCs w:val="18"/>
        </w:rPr>
        <w:t>CellMatrix heatFlow);</w:t>
      </w:r>
    </w:p>
    <w:p>
      <w:pPr>
        <w:pStyle w:val="Normal"/>
        <w:spacing w:before="0" w:after="0"/>
        <w:jc w:val="both"/>
        <w:rPr>
          <w:rFonts w:ascii="Courier new" w:hAnsi="Courier new"/>
          <w:sz w:val="18"/>
          <w:szCs w:val="18"/>
        </w:rPr>
      </w:pPr>
      <w:r>
        <w:rPr>
          <w:rFonts w:cs="Courier New" w:ascii="Courier new" w:hAnsi="Courier new"/>
          <w:sz w:val="18"/>
          <w:szCs w:val="18"/>
        </w:rPr>
        <w:t>};</w:t>
      </w:r>
    </w:p>
    <w:p>
      <w:pPr>
        <w:pStyle w:val="Normal"/>
        <w:spacing w:before="0" w:after="0"/>
        <w:jc w:val="both"/>
        <w:rPr>
          <w:rFonts w:cs="Courier New"/>
        </w:rPr>
      </w:pPr>
      <w:r>
        <w:rPr>
          <w:rFonts w:cs="Courier New"/>
        </w:rPr>
      </w:r>
    </w:p>
    <w:p>
      <w:pPr>
        <w:pStyle w:val="Normal"/>
        <w:spacing w:before="0" w:after="0"/>
        <w:jc w:val="both"/>
        <w:rPr/>
      </w:pPr>
      <w:r>
        <w:rPr>
          <w:rFonts w:cs="Courier New"/>
          <w:sz w:val="22"/>
          <w:szCs w:val="22"/>
        </w:rPr>
        <w:t>The class constructor is called by 3D-ICE to inform the heat sink plugin of the simulation parameters, which are</w:t>
      </w:r>
    </w:p>
    <w:p>
      <w:pPr>
        <w:pStyle w:val="Normal"/>
        <w:numPr>
          <w:ilvl w:val="0"/>
          <w:numId w:val="32"/>
        </w:numPr>
        <w:spacing w:before="0" w:after="0"/>
        <w:jc w:val="both"/>
        <w:rPr/>
      </w:pPr>
      <w:r>
        <w:rPr>
          <w:rFonts w:cs="Courier New" w:ascii="Courier New" w:hAnsi="Courier New"/>
          <w:sz w:val="18"/>
          <w:szCs w:val="22"/>
        </w:rPr>
        <w:t>nRows</w:t>
      </w:r>
      <w:r>
        <w:rPr>
          <w:rFonts w:cs="Courier New" w:ascii="Courier new" w:hAnsi="Courier new"/>
          <w:sz w:val="18"/>
          <w:szCs w:val="18"/>
        </w:rPr>
        <w:t>, nCols</w:t>
      </w:r>
      <w:r>
        <w:rPr>
          <w:rFonts w:cs="Courier New" w:ascii="Courier New" w:hAnsi="Courier New"/>
          <w:sz w:val="18"/>
          <w:szCs w:val="22"/>
        </w:rPr>
        <w:t xml:space="preserve"> </w:t>
      </w:r>
      <w:r>
        <w:rPr>
          <w:rFonts w:cs="Courier New"/>
          <w:sz w:val="22"/>
          <w:szCs w:val="22"/>
        </w:rPr>
        <w:t>the number of rows and columns of thermal cells of the heat spreader,</w:t>
      </w:r>
    </w:p>
    <w:p>
      <w:pPr>
        <w:pStyle w:val="Normal"/>
        <w:numPr>
          <w:ilvl w:val="0"/>
          <w:numId w:val="32"/>
        </w:numPr>
        <w:spacing w:before="0" w:after="0"/>
        <w:jc w:val="both"/>
        <w:rPr/>
      </w:pPr>
      <w:r>
        <w:rPr>
          <w:rFonts w:cs="Courier New" w:ascii="Courier New" w:hAnsi="Courier New"/>
          <w:sz w:val="18"/>
          <w:szCs w:val="22"/>
        </w:rPr>
        <w:t>cellWidth</w:t>
      </w:r>
      <w:r>
        <w:rPr>
          <w:rFonts w:cs="Courier New" w:ascii="Courier new" w:hAnsi="Courier new"/>
          <w:sz w:val="18"/>
          <w:szCs w:val="18"/>
        </w:rPr>
        <w:t>, cellLength</w:t>
      </w:r>
      <w:r>
        <w:rPr>
          <w:rFonts w:cs="Courier New" w:ascii="Courier New" w:hAnsi="Courier New"/>
          <w:sz w:val="18"/>
          <w:szCs w:val="22"/>
        </w:rPr>
        <w:t xml:space="preserve"> </w:t>
      </w:r>
      <w:r>
        <w:rPr>
          <w:rFonts w:cs="Courier New"/>
          <w:sz w:val="22"/>
          <w:szCs w:val="22"/>
        </w:rPr>
        <w:t xml:space="preserve">the size of a heat spreader thermal cell, in </w:t>
      </w:r>
      <w:r>
        <w:rPr>
          <w:rFonts w:cs="Calibri" w:cstheme="minorHAnsi"/>
          <w:sz w:val="22"/>
          <w:szCs w:val="22"/>
        </w:rPr>
        <w:t>μ</w:t>
      </w:r>
      <w:r>
        <w:rPr>
          <w:rFonts w:cs="Courier New"/>
          <w:sz w:val="22"/>
          <w:szCs w:val="22"/>
        </w:rPr>
        <w:t>m,</w:t>
      </w:r>
    </w:p>
    <w:p>
      <w:pPr>
        <w:pStyle w:val="Normal"/>
        <w:numPr>
          <w:ilvl w:val="0"/>
          <w:numId w:val="32"/>
        </w:numPr>
        <w:spacing w:before="0" w:after="0"/>
        <w:jc w:val="both"/>
        <w:rPr/>
      </w:pPr>
      <w:r>
        <w:rPr>
          <w:rFonts w:cs="Courier New" w:ascii="Courier new" w:hAnsi="Courier new"/>
          <w:sz w:val="18"/>
          <w:szCs w:val="18"/>
        </w:rPr>
        <w:t>initialTemperature</w:t>
      </w:r>
      <w:r>
        <w:rPr>
          <w:rFonts w:cs="Courier New" w:ascii="Courier New" w:hAnsi="Courier New"/>
          <w:sz w:val="18"/>
          <w:szCs w:val="22"/>
        </w:rPr>
        <w:t xml:space="preserve"> </w:t>
      </w:r>
      <w:r>
        <w:rPr>
          <w:rFonts w:cs="Courier New"/>
          <w:sz w:val="22"/>
          <w:szCs w:val="22"/>
        </w:rPr>
        <w:t>the temperature of the heat spreader at the beginning of the simulation, in K,</w:t>
      </w:r>
    </w:p>
    <w:p>
      <w:pPr>
        <w:pStyle w:val="Normal"/>
        <w:numPr>
          <w:ilvl w:val="0"/>
          <w:numId w:val="32"/>
        </w:numPr>
        <w:spacing w:before="0" w:after="0"/>
        <w:jc w:val="both"/>
        <w:rPr/>
      </w:pPr>
      <w:r>
        <w:rPr>
          <w:rFonts w:cs="Courier New" w:ascii="Courier new" w:hAnsi="Courier new"/>
          <w:sz w:val="18"/>
          <w:szCs w:val="18"/>
        </w:rPr>
        <w:t>spreaderConductance</w:t>
      </w:r>
      <w:r>
        <w:rPr>
          <w:rFonts w:cs="Courier New" w:ascii="Courier New" w:hAnsi="Courier New"/>
          <w:sz w:val="18"/>
          <w:szCs w:val="22"/>
        </w:rPr>
        <w:t xml:space="preserve"> </w:t>
      </w:r>
      <w:r>
        <w:rPr>
          <w:rFonts w:cs="Courier New"/>
          <w:sz w:val="22"/>
          <w:szCs w:val="22"/>
        </w:rPr>
        <w:t>the thermal conductance from the center of the heat spreader thermal cells to their top face, in W/K,</w:t>
      </w:r>
    </w:p>
    <w:p>
      <w:pPr>
        <w:pStyle w:val="Normal"/>
        <w:numPr>
          <w:ilvl w:val="0"/>
          <w:numId w:val="32"/>
        </w:numPr>
        <w:spacing w:before="0" w:after="0"/>
        <w:jc w:val="both"/>
        <w:rPr/>
      </w:pPr>
      <w:r>
        <w:rPr>
          <w:rFonts w:cs="Courier New" w:ascii="Courier new" w:hAnsi="Courier new"/>
          <w:sz w:val="18"/>
          <w:szCs w:val="18"/>
        </w:rPr>
        <w:t>timeStep</w:t>
      </w:r>
      <w:r>
        <w:rPr>
          <w:rFonts w:cs="Courier New" w:ascii="Courier New" w:hAnsi="Courier New"/>
          <w:sz w:val="18"/>
          <w:szCs w:val="22"/>
        </w:rPr>
        <w:t xml:space="preserve"> </w:t>
      </w:r>
      <w:r>
        <w:rPr>
          <w:rFonts w:cs="Courier New"/>
          <w:sz w:val="22"/>
          <w:szCs w:val="22"/>
        </w:rPr>
        <w:t>the simulation time step in seconds.</w:t>
      </w:r>
    </w:p>
    <w:p>
      <w:pPr>
        <w:pStyle w:val="Normal"/>
        <w:spacing w:before="0" w:after="0"/>
        <w:jc w:val="both"/>
        <w:rPr>
          <w:rFonts w:ascii="Calibri" w:hAnsi="Calibri" w:cs="Courier New"/>
          <w:sz w:val="22"/>
          <w:szCs w:val="22"/>
        </w:rPr>
      </w:pPr>
      <w:r>
        <w:rPr>
          <w:rFonts w:cs="Courier New"/>
          <w:sz w:val="22"/>
          <w:szCs w:val="22"/>
        </w:rPr>
      </w:r>
    </w:p>
    <w:p>
      <w:pPr>
        <w:pStyle w:val="Normal"/>
        <w:spacing w:before="0" w:after="0"/>
        <w:jc w:val="both"/>
        <w:rPr>
          <w:rFonts w:ascii="Courier new" w:hAnsi="Courier new"/>
          <w:sz w:val="18"/>
          <w:szCs w:val="18"/>
        </w:rPr>
      </w:pPr>
      <w:r>
        <w:rPr>
          <w:rFonts w:cs="Courier New"/>
          <w:sz w:val="22"/>
          <w:szCs w:val="22"/>
        </w:rPr>
        <w:t xml:space="preserve">Then, the </w:t>
      </w:r>
      <w:r>
        <w:rPr>
          <w:rFonts w:cs="Courier New" w:ascii="Courier new" w:hAnsi="Courier new"/>
          <w:sz w:val="18"/>
          <w:szCs w:val="18"/>
        </w:rPr>
        <w:t>simulateStep</w:t>
      </w:r>
      <w:r>
        <w:rPr>
          <w:rFonts w:cs="Courier New"/>
          <w:sz w:val="22"/>
          <w:szCs w:val="22"/>
        </w:rPr>
        <w:t xml:space="preserve"> member function is called at each simulation time step to update the heat sink model. Its parameters are</w:t>
      </w:r>
    </w:p>
    <w:p>
      <w:pPr>
        <w:pStyle w:val="Normal"/>
        <w:numPr>
          <w:ilvl w:val="0"/>
          <w:numId w:val="33"/>
        </w:numPr>
        <w:spacing w:before="0" w:after="0"/>
        <w:jc w:val="both"/>
        <w:rPr>
          <w:rFonts w:ascii="Courier new" w:hAnsi="Courier new"/>
          <w:sz w:val="18"/>
          <w:szCs w:val="18"/>
        </w:rPr>
      </w:pPr>
      <w:bookmarkStart w:id="106" w:name="__DdeLink__4180_1729638673"/>
      <w:r>
        <w:rPr>
          <w:rFonts w:cs="Courier New" w:ascii="Courier New" w:hAnsi="Courier New"/>
          <w:sz w:val="18"/>
          <w:szCs w:val="22"/>
        </w:rPr>
        <w:t xml:space="preserve">spreaderTemperatures </w:t>
      </w:r>
      <w:r>
        <w:rPr>
          <w:rFonts w:cs="Courier New"/>
          <w:sz w:val="22"/>
          <w:szCs w:val="22"/>
        </w:rPr>
        <w:t>a matrix provided by 3D-ICE with the current temperatures of the heat spreader cells</w:t>
      </w:r>
      <w:bookmarkEnd w:id="106"/>
      <w:r>
        <w:rPr>
          <w:rFonts w:cs="Courier New"/>
          <w:sz w:val="22"/>
          <w:szCs w:val="22"/>
        </w:rPr>
        <w:t>. This is an input parameter.</w:t>
      </w:r>
    </w:p>
    <w:p>
      <w:pPr>
        <w:pStyle w:val="Normal"/>
        <w:numPr>
          <w:ilvl w:val="0"/>
          <w:numId w:val="33"/>
        </w:numPr>
        <w:spacing w:before="0" w:after="0"/>
        <w:jc w:val="both"/>
        <w:rPr/>
      </w:pPr>
      <w:r>
        <w:rPr>
          <w:rFonts w:cs="Courier New" w:ascii="Courier New" w:hAnsi="Courier New"/>
          <w:sz w:val="18"/>
          <w:szCs w:val="18"/>
        </w:rPr>
        <w:t>heatFlow</w:t>
      </w:r>
      <w:r>
        <w:rPr>
          <w:rFonts w:cs="Courier New"/>
          <w:sz w:val="22"/>
          <w:szCs w:val="22"/>
        </w:rPr>
        <w:t xml:space="preserve"> the heat flow from the spreader to the sink. This is an output parameter, that has to be computed by the plugin.</w:t>
      </w:r>
    </w:p>
    <w:p>
      <w:pPr>
        <w:pStyle w:val="Normal"/>
        <w:spacing w:before="0" w:after="0"/>
        <w:jc w:val="both"/>
        <w:rPr>
          <w:rFonts w:cs="Courier New"/>
          <w:sz w:val="22"/>
          <w:szCs w:val="22"/>
        </w:rPr>
      </w:pPr>
      <w:r>
        <w:rPr>
          <w:rFonts w:cs="Courier New"/>
          <w:sz w:val="22"/>
          <w:szCs w:val="22"/>
        </w:rPr>
      </w:r>
    </w:p>
    <w:p>
      <w:pPr>
        <w:pStyle w:val="Heading4"/>
        <w:rPr>
          <w:rFonts w:cs="Courier New"/>
          <w:sz w:val="22"/>
          <w:szCs w:val="22"/>
        </w:rPr>
      </w:pPr>
      <w:r>
        <w:rPr/>
        <w:t>The HS483 heat sink model</w:t>
      </w:r>
    </w:p>
    <w:p>
      <w:pPr>
        <w:pStyle w:val="Normal"/>
        <w:spacing w:before="0" w:after="0"/>
        <w:jc w:val="both"/>
        <w:rPr>
          <w:rFonts w:cs="Courier New"/>
          <w:sz w:val="22"/>
          <w:szCs w:val="22"/>
        </w:rPr>
      </w:pPr>
      <w:r>
        <w:rPr>
          <w:rFonts w:cs="Courier New"/>
          <w:sz w:val="22"/>
          <w:szCs w:val="22"/>
        </w:rPr>
        <w:t>HS483 is a Modelica model for a COTS HS483-ND heat sink, connected to a P14752-ND fan. Fan speed should be limited in the range from 1500 to 6000RPM (or 0, for natural convection). Power to be dissipated should be limited to less than 40W. More information is detailed in the model source code.</w:t>
      </w:r>
    </w:p>
    <w:p>
      <w:pPr>
        <w:pStyle w:val="Normal"/>
        <w:spacing w:before="0" w:after="0"/>
        <w:jc w:val="both"/>
        <w:rPr>
          <w:rFonts w:cs="Courier New"/>
          <w:sz w:val="22"/>
          <w:szCs w:val="22"/>
        </w:rPr>
      </w:pPr>
      <w:r>
        <w:rPr>
          <w:rFonts w:cs="Courier New"/>
          <w:sz w:val="22"/>
          <w:szCs w:val="22"/>
        </w:rPr>
        <w:t>Two 3D-ICE interfaces are available for this model:</w:t>
      </w:r>
    </w:p>
    <w:p>
      <w:pPr>
        <w:pStyle w:val="Normal"/>
        <w:spacing w:before="0" w:after="0"/>
        <w:jc w:val="both"/>
        <w:rPr>
          <w:rFonts w:cs="Courier New"/>
          <w:sz w:val="22"/>
          <w:szCs w:val="22"/>
        </w:rPr>
      </w:pPr>
      <w:r>
        <w:rPr>
          <w:rFonts w:cs="Courier New" w:ascii="DejaVu Sans Mono" w:hAnsi="DejaVu Sans Mono"/>
          <w:sz w:val="18"/>
          <w:szCs w:val="18"/>
        </w:rPr>
        <w:t>HS483_P14752_ConstantFanSpeed_Interface3DICE</w:t>
      </w:r>
      <w:r>
        <w:rPr>
          <w:rFonts w:cs="Courier New"/>
          <w:sz w:val="22"/>
          <w:szCs w:val="22"/>
        </w:rPr>
        <w:t>: this model has the following parameters</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spreaderX0</w:t>
      </w:r>
      <w:r>
        <w:rPr>
          <w:rFonts w:eastAsia="Calibri" w:cs="Courier New" w:eastAsiaTheme="minorHAnsi"/>
          <w:color w:val="00000A"/>
          <w:kern w:val="0"/>
          <w:sz w:val="22"/>
          <w:szCs w:val="22"/>
          <w:lang w:val="en-US" w:eastAsia="en-US" w:bidi="ar-SA"/>
        </w:rPr>
        <w:t>,</w:t>
      </w:r>
      <w:r>
        <w:rPr>
          <w:rFonts w:eastAsia="Calibri" w:cs="Courier New" w:ascii="DejaVu Sans Mono" w:hAnsi="DejaVu Sans Mono" w:eastAsiaTheme="minorHAnsi"/>
          <w:color w:val="000000"/>
          <w:kern w:val="0"/>
          <w:sz w:val="18"/>
          <w:szCs w:val="22"/>
          <w:lang w:val="en-US" w:eastAsia="en-US" w:bidi="ar-SA"/>
        </w:rPr>
        <w:t xml:space="preserve"> spreaderY0</w:t>
      </w:r>
      <w:r>
        <w:rPr>
          <w:rFonts w:eastAsia="Calibri" w:cs="Courier New" w:eastAsiaTheme="minorHAnsi"/>
          <w:color w:val="000000"/>
          <w:kern w:val="0"/>
          <w:sz w:val="22"/>
          <w:szCs w:val="22"/>
          <w:lang w:val="en-US" w:eastAsia="en-US" w:bidi="ar-SA"/>
        </w:rPr>
        <w:t>: see chapter Writing a heat sink in Modelica</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airTemperature</w:t>
      </w:r>
      <w:r>
        <w:rPr>
          <w:rFonts w:eastAsia="Calibri" w:cs="Courier New" w:eastAsiaTheme="minorHAnsi"/>
          <w:color w:val="000000"/>
          <w:kern w:val="0"/>
          <w:sz w:val="22"/>
          <w:szCs w:val="22"/>
          <w:lang w:val="en-US" w:eastAsia="en-US" w:bidi="ar-SA"/>
        </w:rPr>
        <w:t>: air temperature in K</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fanSpeed</w:t>
      </w:r>
      <w:r>
        <w:rPr>
          <w:rFonts w:eastAsia="Calibri" w:cs="Courier New" w:eastAsiaTheme="minorHAnsi"/>
          <w:color w:val="000000"/>
          <w:kern w:val="0"/>
          <w:sz w:val="22"/>
          <w:szCs w:val="22"/>
          <w:lang w:val="en-US" w:eastAsia="en-US" w:bidi="ar-SA"/>
        </w:rPr>
        <w:t>: fan speed in RPM</w:t>
      </w:r>
    </w:p>
    <w:p>
      <w:pPr>
        <w:pStyle w:val="Normal"/>
        <w:spacing w:before="0" w:after="0"/>
        <w:jc w:val="both"/>
        <w:rPr>
          <w:rFonts w:cs="Courier New"/>
          <w:sz w:val="22"/>
          <w:szCs w:val="22"/>
        </w:rPr>
      </w:pPr>
      <w:r>
        <w:rPr>
          <w:rFonts w:cs="Courier New"/>
          <w:sz w:val="22"/>
          <w:szCs w:val="22"/>
        </w:rPr>
      </w:r>
    </w:p>
    <w:p>
      <w:pPr>
        <w:pStyle w:val="Normal"/>
        <w:spacing w:before="0" w:after="0"/>
        <w:jc w:val="both"/>
        <w:rPr>
          <w:rFonts w:cs="Courier New"/>
          <w:sz w:val="22"/>
          <w:szCs w:val="22"/>
        </w:rPr>
      </w:pPr>
      <w:r>
        <w:rPr>
          <w:rFonts w:ascii="DejaVu Sans Mono" w:hAnsi="DejaVu Sans Mono"/>
          <w:sz w:val="18"/>
          <w:szCs w:val="18"/>
        </w:rPr>
        <w:t>HS483_P14752_VariableFanSpeed_Interface3DICE</w:t>
      </w:r>
      <w:r>
        <w:rPr/>
        <w:t>: this model has the following parameters</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spreaderX0</w:t>
      </w:r>
      <w:r>
        <w:rPr>
          <w:rFonts w:eastAsia="Calibri" w:cs="Courier New" w:eastAsiaTheme="minorHAnsi"/>
          <w:color w:val="00000A"/>
          <w:kern w:val="0"/>
          <w:sz w:val="22"/>
          <w:szCs w:val="22"/>
          <w:lang w:val="en-US" w:eastAsia="en-US" w:bidi="ar-SA"/>
        </w:rPr>
        <w:t>,</w:t>
      </w:r>
      <w:r>
        <w:rPr>
          <w:rFonts w:eastAsia="Calibri" w:cs="Courier New" w:ascii="DejaVu Sans Mono" w:hAnsi="DejaVu Sans Mono" w:eastAsiaTheme="minorHAnsi"/>
          <w:color w:val="000000"/>
          <w:kern w:val="0"/>
          <w:sz w:val="18"/>
          <w:szCs w:val="22"/>
          <w:lang w:val="en-US" w:eastAsia="en-US" w:bidi="ar-SA"/>
        </w:rPr>
        <w:t xml:space="preserve"> spreaderY0</w:t>
      </w:r>
      <w:r>
        <w:rPr>
          <w:rFonts w:eastAsia="Calibri" w:cs="Courier New" w:eastAsiaTheme="minorHAnsi"/>
          <w:color w:val="000000"/>
          <w:kern w:val="0"/>
          <w:sz w:val="22"/>
          <w:szCs w:val="22"/>
          <w:lang w:val="en-US" w:eastAsia="en-US" w:bidi="ar-SA"/>
        </w:rPr>
        <w:t>: see chapter Writing a heat sink in Modelica</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airTemperature</w:t>
      </w:r>
      <w:r>
        <w:rPr>
          <w:rFonts w:eastAsia="Calibri" w:cs="Courier New" w:eastAsiaTheme="minorHAnsi"/>
          <w:color w:val="000000"/>
          <w:kern w:val="0"/>
          <w:sz w:val="22"/>
          <w:szCs w:val="22"/>
          <w:lang w:val="en-US" w:eastAsia="en-US" w:bidi="ar-SA"/>
        </w:rPr>
        <w:t>: air temperature in K</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fanSpeedFilename</w:t>
      </w:r>
      <w:r>
        <w:rPr>
          <w:rFonts w:eastAsia="Calibri" w:cs="Courier New" w:eastAsiaTheme="minorHAnsi"/>
          <w:color w:val="000000"/>
          <w:kern w:val="0"/>
          <w:sz w:val="22"/>
          <w:szCs w:val="22"/>
          <w:lang w:val="en-US" w:eastAsia="en-US" w:bidi="ar-SA"/>
        </w:rPr>
        <w:t xml:space="preserve">: filename of a table with the fan speed as a function of the simulation time. The format of this table is the one of the Modelica </w:t>
      </w:r>
      <w:hyperlink r:id="rId36">
        <w:r>
          <w:rPr>
            <w:rStyle w:val="InternetLink"/>
            <w:rFonts w:eastAsia="Calibri" w:cs="Courier New" w:eastAsiaTheme="minorHAnsi"/>
            <w:color w:val="000000"/>
            <w:kern w:val="0"/>
            <w:sz w:val="22"/>
            <w:szCs w:val="22"/>
            <w:lang w:val="en-US" w:eastAsia="en-US" w:bidi="ar-SA"/>
          </w:rPr>
          <w:t>CombiTimeTable</w:t>
        </w:r>
      </w:hyperlink>
      <w:r>
        <w:rPr>
          <w:rFonts w:eastAsia="Calibri" w:cs="Courier New" w:eastAsiaTheme="minorHAnsi"/>
          <w:color w:val="000000"/>
          <w:kern w:val="0"/>
          <w:sz w:val="22"/>
          <w:szCs w:val="22"/>
          <w:lang w:val="en-US" w:eastAsia="en-US" w:bidi="ar-SA"/>
        </w:rPr>
        <w:t>, an example is provided in the heat sink directory.</w:t>
      </w:r>
    </w:p>
    <w:p>
      <w:pPr>
        <w:pStyle w:val="Heading4"/>
        <w:rPr>
          <w:rFonts w:cs="Courier New"/>
          <w:sz w:val="22"/>
          <w:szCs w:val="22"/>
        </w:rPr>
      </w:pPr>
      <w:r>
        <w:rPr/>
        <w:t>The cuplex_kryos_21606 heat sink model</w:t>
      </w:r>
    </w:p>
    <w:p>
      <w:pPr>
        <w:pStyle w:val="Normal"/>
        <w:spacing w:before="0" w:after="0"/>
        <w:jc w:val="both"/>
        <w:rPr>
          <w:rFonts w:cs="Courier New"/>
          <w:sz w:val="22"/>
          <w:szCs w:val="22"/>
        </w:rPr>
      </w:pPr>
      <w:r>
        <w:rPr>
          <w:rFonts w:cs="Courier New"/>
          <w:sz w:val="22"/>
          <w:szCs w:val="22"/>
        </w:rPr>
        <w:t>cuplex_kryos_21606 is a Modelica model for a COTS uplex kryos NEXT water block from aqua computer, part number 21606. The water block has been fitted in the range 0.06 to 0.12 l/min. Power to be dissipated should be limited to less than:</w:t>
      </w:r>
    </w:p>
    <w:p>
      <w:pPr>
        <w:pStyle w:val="Normal"/>
        <w:numPr>
          <w:ilvl w:val="0"/>
          <w:numId w:val="37"/>
        </w:numPr>
        <w:spacing w:before="0" w:after="0"/>
        <w:jc w:val="both"/>
        <w:rPr>
          <w:rFonts w:cs="Courier New"/>
          <w:sz w:val="22"/>
          <w:szCs w:val="22"/>
        </w:rPr>
      </w:pPr>
      <w:r>
        <w:rPr>
          <w:rFonts w:cs="Courier New"/>
          <w:sz w:val="22"/>
          <w:szCs w:val="22"/>
        </w:rPr>
        <w:t>20W, for a 0.06l/min water flow</w:t>
      </w:r>
    </w:p>
    <w:p>
      <w:pPr>
        <w:pStyle w:val="Normal"/>
        <w:numPr>
          <w:ilvl w:val="0"/>
          <w:numId w:val="37"/>
        </w:numPr>
        <w:spacing w:before="0" w:after="0"/>
        <w:jc w:val="both"/>
        <w:rPr>
          <w:rFonts w:cs="Courier New"/>
          <w:sz w:val="22"/>
          <w:szCs w:val="22"/>
        </w:rPr>
      </w:pPr>
      <w:r>
        <w:rPr>
          <w:rFonts w:cs="Courier New"/>
          <w:sz w:val="22"/>
          <w:szCs w:val="22"/>
        </w:rPr>
        <w:t>70W, for a 0.08l/min water flow</w:t>
      </w:r>
    </w:p>
    <w:p>
      <w:pPr>
        <w:pStyle w:val="Normal"/>
        <w:numPr>
          <w:ilvl w:val="0"/>
          <w:numId w:val="37"/>
        </w:numPr>
        <w:spacing w:before="0" w:after="0"/>
        <w:jc w:val="both"/>
        <w:rPr>
          <w:rFonts w:cs="Courier New"/>
          <w:sz w:val="22"/>
          <w:szCs w:val="22"/>
        </w:rPr>
      </w:pPr>
      <w:r>
        <w:rPr>
          <w:rFonts w:cs="Courier New"/>
          <w:sz w:val="22"/>
          <w:szCs w:val="22"/>
        </w:rPr>
        <w:t>80W, for higher water flow rates.</w:t>
      </w:r>
    </w:p>
    <w:p>
      <w:pPr>
        <w:pStyle w:val="Normal"/>
        <w:spacing w:before="0" w:after="0"/>
        <w:jc w:val="both"/>
        <w:rPr>
          <w:rFonts w:cs="Courier New"/>
          <w:sz w:val="22"/>
          <w:szCs w:val="22"/>
        </w:rPr>
      </w:pPr>
      <w:r>
        <w:rPr>
          <w:rFonts w:cs="Courier New"/>
          <w:sz w:val="22"/>
          <w:szCs w:val="22"/>
        </w:rPr>
        <w:t>More information is detailed in the model source code.</w:t>
      </w:r>
    </w:p>
    <w:p>
      <w:pPr>
        <w:pStyle w:val="Normal"/>
        <w:spacing w:before="0" w:after="0"/>
        <w:jc w:val="both"/>
        <w:rPr>
          <w:rFonts w:cs="Courier New"/>
          <w:sz w:val="22"/>
          <w:szCs w:val="22"/>
        </w:rPr>
      </w:pPr>
      <w:r>
        <w:rPr>
          <w:rFonts w:cs="Courier New"/>
          <w:sz w:val="22"/>
          <w:szCs w:val="22"/>
        </w:rPr>
        <w:t>Two 3D-ICE interfaces are available for this model:</w:t>
      </w:r>
    </w:p>
    <w:p>
      <w:pPr>
        <w:pStyle w:val="Normal"/>
        <w:spacing w:before="0" w:after="0"/>
        <w:jc w:val="both"/>
        <w:rPr>
          <w:rFonts w:cs="Courier New"/>
          <w:sz w:val="22"/>
          <w:szCs w:val="22"/>
        </w:rPr>
      </w:pPr>
      <w:r>
        <w:rPr>
          <w:rFonts w:cs="Courier New" w:ascii="DejaVu Sans Mono" w:hAnsi="DejaVu Sans Mono"/>
          <w:sz w:val="18"/>
          <w:szCs w:val="18"/>
        </w:rPr>
        <w:t>Cuplex21606_ConstantFlowRate_Interface3DICE</w:t>
      </w:r>
      <w:r>
        <w:rPr>
          <w:rFonts w:cs="Courier New"/>
          <w:sz w:val="22"/>
          <w:szCs w:val="22"/>
        </w:rPr>
        <w:t>: this model has the following parameters</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spreaderX0</w:t>
      </w:r>
      <w:r>
        <w:rPr>
          <w:rFonts w:eastAsia="Calibri" w:cs="Courier New" w:eastAsiaTheme="minorHAnsi"/>
          <w:color w:val="00000A"/>
          <w:kern w:val="0"/>
          <w:sz w:val="22"/>
          <w:szCs w:val="22"/>
          <w:lang w:val="en-US" w:eastAsia="en-US" w:bidi="ar-SA"/>
        </w:rPr>
        <w:t>,</w:t>
      </w:r>
      <w:r>
        <w:rPr>
          <w:rFonts w:eastAsia="Calibri" w:cs="Courier New" w:ascii="DejaVu Sans Mono" w:hAnsi="DejaVu Sans Mono" w:eastAsiaTheme="minorHAnsi"/>
          <w:color w:val="000000"/>
          <w:kern w:val="0"/>
          <w:sz w:val="18"/>
          <w:szCs w:val="22"/>
          <w:lang w:val="en-US" w:eastAsia="en-US" w:bidi="ar-SA"/>
        </w:rPr>
        <w:t xml:space="preserve"> spreaderY0</w:t>
      </w:r>
      <w:r>
        <w:rPr>
          <w:rFonts w:eastAsia="Calibri" w:cs="Courier New" w:eastAsiaTheme="minorHAnsi"/>
          <w:color w:val="000000"/>
          <w:kern w:val="0"/>
          <w:sz w:val="22"/>
          <w:szCs w:val="22"/>
          <w:lang w:val="en-US" w:eastAsia="en-US" w:bidi="ar-SA"/>
        </w:rPr>
        <w:t>: see chapter Writing a heat sink in Modelica</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waterTemperature</w:t>
      </w:r>
      <w:r>
        <w:rPr>
          <w:rFonts w:eastAsia="Calibri" w:cs="Courier New" w:eastAsiaTheme="minorHAnsi"/>
          <w:color w:val="000000"/>
          <w:kern w:val="0"/>
          <w:sz w:val="22"/>
          <w:szCs w:val="22"/>
          <w:lang w:val="en-US" w:eastAsia="en-US" w:bidi="ar-SA"/>
        </w:rPr>
        <w:t>: air temperature in K</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waterFlowRate</w:t>
      </w:r>
      <w:r>
        <w:rPr>
          <w:rFonts w:eastAsia="Calibri" w:cs="Courier New" w:eastAsiaTheme="minorHAnsi"/>
          <w:color w:val="000000"/>
          <w:kern w:val="0"/>
          <w:sz w:val="22"/>
          <w:szCs w:val="22"/>
          <w:lang w:val="en-US" w:eastAsia="en-US" w:bidi="ar-SA"/>
        </w:rPr>
        <w:t>: water flow rate in l/min</w:t>
      </w:r>
    </w:p>
    <w:p>
      <w:pPr>
        <w:pStyle w:val="Normal"/>
        <w:spacing w:before="0" w:after="0"/>
        <w:jc w:val="both"/>
        <w:rPr>
          <w:rFonts w:cs="Courier New"/>
          <w:sz w:val="22"/>
          <w:szCs w:val="22"/>
        </w:rPr>
      </w:pPr>
      <w:r>
        <w:rPr>
          <w:rFonts w:cs="Courier New"/>
          <w:sz w:val="22"/>
          <w:szCs w:val="22"/>
        </w:rPr>
      </w:r>
    </w:p>
    <w:p>
      <w:pPr>
        <w:pStyle w:val="Normal"/>
        <w:spacing w:before="0" w:after="0"/>
        <w:jc w:val="both"/>
        <w:rPr>
          <w:rFonts w:cs="Courier New"/>
          <w:sz w:val="22"/>
          <w:szCs w:val="22"/>
        </w:rPr>
      </w:pPr>
      <w:r>
        <w:rPr>
          <w:rFonts w:ascii="DejaVu Sans Mono" w:hAnsi="DejaVu Sans Mono"/>
          <w:sz w:val="18"/>
          <w:szCs w:val="18"/>
        </w:rPr>
        <w:t>Cuplex21606_VariableFlowRate_Interface3DICE</w:t>
      </w:r>
      <w:r>
        <w:rPr/>
        <w:t>: this model has the following parameters</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spreaderX0</w:t>
      </w:r>
      <w:r>
        <w:rPr>
          <w:rFonts w:eastAsia="Calibri" w:cs="Courier New" w:eastAsiaTheme="minorHAnsi"/>
          <w:color w:val="00000A"/>
          <w:kern w:val="0"/>
          <w:sz w:val="22"/>
          <w:szCs w:val="22"/>
          <w:lang w:val="en-US" w:eastAsia="en-US" w:bidi="ar-SA"/>
        </w:rPr>
        <w:t>,</w:t>
      </w:r>
      <w:r>
        <w:rPr>
          <w:rFonts w:eastAsia="Calibri" w:cs="Courier New" w:ascii="DejaVu Sans Mono" w:hAnsi="DejaVu Sans Mono" w:eastAsiaTheme="minorHAnsi"/>
          <w:color w:val="000000"/>
          <w:kern w:val="0"/>
          <w:sz w:val="18"/>
          <w:szCs w:val="22"/>
          <w:lang w:val="en-US" w:eastAsia="en-US" w:bidi="ar-SA"/>
        </w:rPr>
        <w:t xml:space="preserve"> spreaderY0</w:t>
      </w:r>
      <w:r>
        <w:rPr>
          <w:rFonts w:eastAsia="Calibri" w:cs="Courier New" w:eastAsiaTheme="minorHAnsi"/>
          <w:color w:val="000000"/>
          <w:kern w:val="0"/>
          <w:sz w:val="22"/>
          <w:szCs w:val="22"/>
          <w:lang w:val="en-US" w:eastAsia="en-US" w:bidi="ar-SA"/>
        </w:rPr>
        <w:t>: see chapter Writing a heat sink in Modelica</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airTemperature</w:t>
      </w:r>
      <w:r>
        <w:rPr>
          <w:rFonts w:eastAsia="Calibri" w:cs="Courier New" w:eastAsiaTheme="minorHAnsi"/>
          <w:color w:val="000000"/>
          <w:kern w:val="0"/>
          <w:sz w:val="22"/>
          <w:szCs w:val="22"/>
          <w:lang w:val="en-US" w:eastAsia="en-US" w:bidi="ar-SA"/>
        </w:rPr>
        <w:t>: air temperature in K</w:t>
      </w:r>
    </w:p>
    <w:p>
      <w:pPr>
        <w:pStyle w:val="Normal"/>
        <w:numPr>
          <w:ilvl w:val="0"/>
          <w:numId w:val="36"/>
        </w:numPr>
        <w:spacing w:before="0" w:after="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ascii="DejaVu Sans Mono" w:hAnsi="DejaVu Sans Mono" w:eastAsiaTheme="minorHAnsi"/>
          <w:color w:val="000000"/>
          <w:kern w:val="0"/>
          <w:sz w:val="18"/>
          <w:szCs w:val="22"/>
          <w:lang w:val="en-US" w:eastAsia="en-US" w:bidi="ar-SA"/>
        </w:rPr>
        <w:t>flowRateFilename</w:t>
      </w:r>
      <w:r>
        <w:rPr>
          <w:rFonts w:eastAsia="Calibri" w:cs="Courier New" w:eastAsiaTheme="minorHAnsi"/>
          <w:color w:val="000000"/>
          <w:kern w:val="0"/>
          <w:sz w:val="22"/>
          <w:szCs w:val="22"/>
          <w:lang w:val="en-US" w:eastAsia="en-US" w:bidi="ar-SA"/>
        </w:rPr>
        <w:t xml:space="preserve">: filename of a table with the water flow rate as a function of the simulation time. The format of this table is the one of the Modelica </w:t>
      </w:r>
      <w:hyperlink r:id="rId37">
        <w:r>
          <w:rPr>
            <w:rStyle w:val="InternetLink"/>
            <w:rFonts w:eastAsia="Calibri" w:cs="Courier New" w:eastAsiaTheme="minorHAnsi"/>
            <w:color w:val="000000"/>
            <w:kern w:val="0"/>
            <w:sz w:val="22"/>
            <w:szCs w:val="22"/>
            <w:lang w:val="en-US" w:eastAsia="en-US" w:bidi="ar-SA"/>
          </w:rPr>
          <w:t>CombiTimeTable</w:t>
        </w:r>
      </w:hyperlink>
      <w:r>
        <w:rPr>
          <w:rFonts w:eastAsia="Calibri" w:cs="Courier New" w:eastAsiaTheme="minorHAnsi"/>
          <w:color w:val="000000"/>
          <w:kern w:val="0"/>
          <w:sz w:val="22"/>
          <w:szCs w:val="22"/>
          <w:lang w:val="en-US" w:eastAsia="en-US" w:bidi="ar-SA"/>
        </w:rPr>
        <w:t>, an example is provided in the heat sink directory.</w:t>
      </w:r>
    </w:p>
    <w:p>
      <w:pPr>
        <w:pStyle w:val="Normal"/>
        <w:numPr>
          <w:ilvl w:val="0"/>
          <w:numId w:val="0"/>
        </w:numPr>
        <w:spacing w:before="0" w:after="0"/>
        <w:ind w:left="720" w:hanging="0"/>
        <w:jc w:val="both"/>
        <w:rPr>
          <w:rFonts w:ascii="Calibri" w:hAnsi="Calibri" w:eastAsia="Calibri" w:cs="Courier New" w:asciiTheme="minorHAnsi" w:eastAsiaTheme="minorHAnsi" w:hAnsiTheme="minorHAnsi"/>
          <w:color w:val="00000A"/>
          <w:kern w:val="0"/>
          <w:sz w:val="22"/>
          <w:szCs w:val="22"/>
          <w:lang w:val="en-US" w:eastAsia="en-US" w:bidi="ar-SA"/>
        </w:rPr>
      </w:pPr>
      <w:r>
        <w:rPr>
          <w:rFonts w:eastAsia="Calibri" w:cs="Courier New" w:eastAsiaTheme="minorHAnsi"/>
          <w:color w:val="00000A"/>
          <w:kern w:val="0"/>
          <w:sz w:val="22"/>
          <w:szCs w:val="22"/>
          <w:lang w:val="en-US" w:eastAsia="en-US" w:bidi="ar-SA"/>
        </w:rPr>
      </w:r>
    </w:p>
    <w:p>
      <w:pPr>
        <w:pStyle w:val="Heading1"/>
        <w:numPr>
          <w:ilvl w:val="0"/>
          <w:numId w:val="2"/>
        </w:numPr>
        <w:rPr/>
      </w:pPr>
      <w:bookmarkStart w:id="107" w:name="__RefHeading___Toc2995_2393532176"/>
      <w:bookmarkStart w:id="108" w:name="_Toc442446457"/>
      <w:bookmarkEnd w:id="107"/>
      <w:bookmarkEnd w:id="108"/>
      <w:r>
        <w:rPr/>
        <w:t>Network interface for remote simulations</w:t>
      </w:r>
    </w:p>
    <w:p>
      <w:pPr>
        <w:pStyle w:val="Normal"/>
        <w:jc w:val="both"/>
        <w:rPr/>
      </w:pPr>
      <w:r>
        <w:rPr/>
        <w:t>The 3D-ICE software library includes software object that can be used to implement simulations where two distinct processes, a client and a server, communicate through a network socket. In this interface, 3D-ICE running on a host machine, acts as the server and the some device or external source that generates the power trace inputs acts as a client. Such set of data structures and functions can be used whenever it is necessary to decouple the generation of power traces and the control of the simulation from its execution, which might requires more computational resources. The network interface can be used in the following scenarios:</w:t>
      </w:r>
    </w:p>
    <w:p>
      <w:pPr>
        <w:pStyle w:val="ListParagraph"/>
        <w:numPr>
          <w:ilvl w:val="0"/>
          <w:numId w:val="25"/>
        </w:numPr>
        <w:jc w:val="both"/>
        <w:rPr/>
      </w:pPr>
      <w:r>
        <w:rPr/>
        <w:t>Hardware/software co-simulation: for example, obtaining real-time temperature data from an architecture being designed and prototyped on an FPGA, testing run-time thermal management techniques that depend on data from temperature sensors in a real device. For more details, see [6]</w:t>
      </w:r>
    </w:p>
    <w:p>
      <w:pPr>
        <w:pStyle w:val="ListParagraph"/>
        <w:numPr>
          <w:ilvl w:val="0"/>
          <w:numId w:val="25"/>
        </w:numPr>
        <w:jc w:val="both"/>
        <w:rPr/>
      </w:pPr>
      <w:r>
        <w:rPr/>
        <w:t xml:space="preserve">Creating graphical interfaces that involve communication with other processes running parallel on a computer. </w:t>
      </w:r>
    </w:p>
    <w:p>
      <w:pPr>
        <w:pStyle w:val="ListParagraph"/>
        <w:numPr>
          <w:ilvl w:val="0"/>
          <w:numId w:val="25"/>
        </w:numPr>
        <w:jc w:val="both"/>
        <w:rPr/>
      </w:pPr>
      <w:r>
        <w:rPr/>
        <w:t xml:space="preserve">Integration in other tools or libraries: for example, floorplanning software, software emulators for power traces on the same computer that is running 3D-ICE. </w:t>
      </w:r>
    </w:p>
    <w:p>
      <w:pPr>
        <w:pStyle w:val="Normal"/>
        <w:jc w:val="both"/>
        <w:rPr/>
      </w:pPr>
      <w:r>
        <w:rPr/>
        <w:t xml:space="preserve">In particular, it will be useful whenever power traces are not known a priori and cannot be written as input for the simulation directly in the floorplan file, and for cases where the power traces are too long and must be read from large data files. The primary project files for a simulation, i.e. the .stk and the flp files, describing the structure of the IC and the floorplan architecture must still be written and stored in the server. The client would simply send the power traces that are otherwise entered in the .flp files. The server performs the thermal simulation and provides the real-time values of the outputs requested in the .stk file. These values will be sent over a socket back to the client, instead of being printed in a text file. The client can also send command to the server to request any kind of change of the state of the simulation (reset temperatures, change flow rate, run simulation steps, etc). </w:t>
      </w:r>
    </w:p>
    <w:p>
      <w:pPr>
        <w:pStyle w:val="Normal"/>
        <w:jc w:val="both"/>
        <w:rPr/>
      </w:pPr>
      <w:bookmarkStart w:id="109" w:name="_Toc442446458"/>
      <w:bookmarkEnd w:id="109"/>
      <w:r>
        <w:rPr/>
        <w:t xml:space="preserve">For the usage of the interface, two data types have been added as well as functions to handle them as done for the other components of the library. These data types are </w:t>
      </w:r>
      <w:r>
        <w:rPr>
          <w:rFonts w:cs="Courier New" w:ascii="Courier New" w:hAnsi="Courier New"/>
          <w:sz w:val="18"/>
        </w:rPr>
        <w:t>Socket</w:t>
      </w:r>
      <w:r>
        <w:rPr/>
        <w:t xml:space="preserve"> and</w:t>
      </w:r>
      <w:r>
        <w:rPr>
          <w:rFonts w:cs="Courier New" w:ascii="Courier New" w:hAnsi="Courier New"/>
          <w:sz w:val="18"/>
        </w:rPr>
        <w:t>NetworkMessage</w:t>
      </w:r>
      <w:r>
        <w:rPr/>
        <w:t xml:space="preserve"> and they will be described in Section 9.</w:t>
      </w:r>
    </w:p>
    <w:p>
      <w:pPr>
        <w:pStyle w:val="Normal"/>
        <w:jc w:val="both"/>
        <w:rPr/>
      </w:pPr>
      <w:r>
        <w:rPr/>
      </w:r>
    </w:p>
    <w:p>
      <w:pPr>
        <w:pStyle w:val="Heading1"/>
        <w:numPr>
          <w:ilvl w:val="0"/>
          <w:numId w:val="2"/>
        </w:numPr>
        <w:rPr/>
      </w:pPr>
      <w:bookmarkStart w:id="110" w:name="__RefHeading___Toc2937_2842897094"/>
      <w:bookmarkEnd w:id="110"/>
      <w:r>
        <w:rPr/>
        <w:t>Running 3D-ICE</w:t>
      </w:r>
    </w:p>
    <w:p>
      <w:pPr>
        <w:pStyle w:val="Normal"/>
        <w:jc w:val="both"/>
        <w:rPr/>
      </w:pPr>
      <w:r>
        <w:rPr/>
        <w:t xml:space="preserve">In the </w:t>
      </w:r>
      <w:r>
        <w:rPr>
          <w:rFonts w:cs="Courier New" w:ascii="Courier New" w:hAnsi="Courier New"/>
          <w:sz w:val="18"/>
        </w:rPr>
        <w:t>3d-ice/bin/</w:t>
      </w:r>
      <w:r>
        <w:rPr/>
        <w:t xml:space="preserve"> folder, the main simulator file to be compiled is</w:t>
      </w:r>
      <w:r>
        <w:rPr>
          <w:rFonts w:cs="Courier New" w:ascii="Courier New" w:hAnsi="Courier New"/>
          <w:sz w:val="18"/>
        </w:rPr>
        <w:t>3D-ICE-Emulator.c</w:t>
      </w:r>
      <w:r>
        <w:rPr/>
        <w:t>. It has been written to parse and analyze any Stack Description File and the corresponding Floorplan Files placed in the same folder. Once compiled with the make command, the corresponding executable is acts as the thermal simulator application. To simulate a new thermal project, you must:</w:t>
      </w:r>
    </w:p>
    <w:p>
      <w:pPr>
        <w:pStyle w:val="ListParagraph"/>
        <w:numPr>
          <w:ilvl w:val="0"/>
          <w:numId w:val="24"/>
        </w:numPr>
        <w:jc w:val="both"/>
        <w:rPr/>
      </w:pPr>
      <w:r>
        <w:rPr/>
        <w:t>create the Stack Description File and the corresponding Floorplan Files according to the instructions in Chapter 6</w:t>
      </w:r>
    </w:p>
    <w:p>
      <w:pPr>
        <w:pStyle w:val="ListParagraph"/>
        <w:numPr>
          <w:ilvl w:val="0"/>
          <w:numId w:val="24"/>
        </w:numPr>
        <w:jc w:val="both"/>
        <w:rPr/>
      </w:pPr>
      <w:r>
        <w:rPr/>
        <w:t xml:space="preserve">run the following command in </w:t>
      </w:r>
      <w:r>
        <w:rPr>
          <w:rFonts w:cs="Courier New" w:ascii="Courier New" w:hAnsi="Courier New"/>
          <w:sz w:val="18"/>
        </w:rPr>
        <w:t>3d-ice/bin/</w:t>
      </w:r>
    </w:p>
    <w:p>
      <w:pPr>
        <w:pStyle w:val="ListParagraph"/>
        <w:jc w:val="both"/>
        <w:rPr/>
      </w:pPr>
      <w:r>
        <w:rPr>
          <w:rFonts w:cs="Courier New" w:ascii="Courier New" w:hAnsi="Courier New"/>
          <w:sz w:val="18"/>
        </w:rPr>
        <w:t>$./3D-ICE-EmulatorPATH</w:t>
      </w:r>
    </w:p>
    <w:p>
      <w:pPr>
        <w:pStyle w:val="Normal"/>
        <w:jc w:val="both"/>
        <w:rPr/>
      </w:pPr>
      <w:r>
        <w:rPr/>
        <w:t xml:space="preserve">where </w:t>
      </w:r>
      <w:r>
        <w:rPr>
          <w:rFonts w:cs="Courier New" w:ascii="Courier New" w:hAnsi="Courier New"/>
          <w:sz w:val="18"/>
        </w:rPr>
        <w:t>PATH</w:t>
      </w:r>
      <w:r>
        <w:rPr/>
        <w:t xml:space="preserve"> is the path to the Stack Descriptor File containing the description of the 3D-IC project. </w:t>
      </w:r>
    </w:p>
    <w:p>
      <w:pPr>
        <w:pStyle w:val="Normal"/>
        <w:jc w:val="both"/>
        <w:rPr/>
      </w:pPr>
      <w:r>
        <w:rPr/>
        <w:t xml:space="preserve">The project is then simulated and the results, as requested in the .stk file, are written in the text files specified in those instructions by the user. </w:t>
      </w:r>
    </w:p>
    <w:p>
      <w:pPr>
        <w:pStyle w:val="Normal"/>
        <w:jc w:val="both"/>
        <w:rPr>
          <w:b/>
          <w:b/>
        </w:rPr>
      </w:pPr>
      <w:r>
        <w:rPr/>
        <w:t xml:space="preserve">3D-ICE uses backward Euler method with constant time-stepping to solve the system equations. Hence, the solution is always numerically unconditionally stable. However, accuracy can be increased by reducing the time step value. The local truncation error of backward Euler method behaves as </w:t>
      </w:r>
      <w:r>
        <w:rPr>
          <w:b/>
          <w:i/>
        </w:rPr>
        <w:t>O(</w:t>
      </w:r>
      <w:r>
        <w:rPr>
          <w:i/>
        </w:rPr>
        <w:t>h</w:t>
      </w:r>
      <w:r>
        <w:rPr>
          <w:i/>
          <w:vertAlign w:val="superscript"/>
        </w:rPr>
        <w:t>2</w:t>
      </w:r>
      <w:r>
        <w:rPr>
          <w:b/>
          <w:i/>
        </w:rPr>
        <w:t>)</w:t>
      </w:r>
      <w:r>
        <w:rPr/>
        <w:t xml:space="preserve">, where </w:t>
      </w:r>
      <w:r>
        <w:rPr>
          <w:i/>
        </w:rPr>
        <w:t>h</w:t>
      </w:r>
      <w:r>
        <w:rPr/>
        <w:t xml:space="preserve"> is the time step. However, given a ToS, the number of time steps in the entire simulation is a </w:t>
      </w:r>
      <w:r>
        <w:rPr>
          <w:b/>
          <w:i/>
        </w:rPr>
        <w:t>O(</w:t>
      </w:r>
      <w:r>
        <w:rPr>
          <w:i/>
        </w:rPr>
        <w:t>1/h</w:t>
      </w:r>
      <w:r>
        <w:rPr>
          <w:b/>
          <w:i/>
        </w:rPr>
        <w:t>)</w:t>
      </w:r>
      <w:r>
        <w:rPr/>
        <w:t xml:space="preserve"> function. Hence, the upper bound of the total accumulated error at the final time point in the simulation behaves as </w:t>
      </w:r>
    </w:p>
    <w:p>
      <w:pPr>
        <w:pStyle w:val="Normal"/>
        <w:jc w:val="center"/>
        <w:rPr/>
      </w:pPr>
      <w:r>
        <w:rPr>
          <w:b/>
          <w:i/>
        </w:rPr>
        <w:t>O(</w:t>
      </w:r>
      <w:r>
        <w:rPr>
          <w:i/>
        </w:rPr>
        <w:t>h</w:t>
      </w:r>
      <w:r>
        <w:rPr>
          <w:i/>
          <w:vertAlign w:val="superscript"/>
        </w:rPr>
        <w:t>2</w:t>
      </w:r>
      <w:r>
        <w:rPr>
          <w:b/>
          <w:i/>
        </w:rPr>
        <w:t>). O(1/</w:t>
      </w:r>
      <w:r>
        <w:rPr>
          <w:i/>
        </w:rPr>
        <w:t>h</w:t>
      </w:r>
      <w:r>
        <w:rPr>
          <w:b/>
          <w:i/>
        </w:rPr>
        <w:t>)</w:t>
      </w:r>
      <w:r>
        <w:rPr/>
        <w:t>=</w:t>
      </w:r>
      <w:r>
        <w:rPr>
          <w:b/>
          <w:i/>
        </w:rPr>
        <w:t>O(</w:t>
      </w:r>
      <w:r>
        <w:rPr>
          <w:i/>
        </w:rPr>
        <w:t>h</w:t>
      </w:r>
      <w:r>
        <w:rPr>
          <w:b/>
          <w:i/>
        </w:rPr>
        <w:t>)</w:t>
      </w:r>
      <w:r>
        <w:rPr/>
        <w:t>.</w:t>
      </w:r>
    </w:p>
    <w:p>
      <w:pPr>
        <w:pStyle w:val="Normal"/>
        <w:jc w:val="both"/>
        <w:rPr/>
      </w:pPr>
      <w:r>
        <w:rPr/>
        <w:t xml:space="preserve">In other words, the total final error is approximately a linear function of the time step. For RC circuits, such as the thermal circuit that 3D-ICE solves, it is common practice to have at least 5 time steps for the duration of a rise time of the output temperature (defined as the time duration for the rise of temperature from 10% to 90% of its steady state value) to resolve the transients accurately. </w:t>
      </w:r>
    </w:p>
    <w:p>
      <w:pPr>
        <w:pStyle w:val="Heading4"/>
        <w:rPr>
          <w:rFonts w:ascii="Cambria" w:hAnsi="Cambria" w:eastAsia="" w:cs="" w:asciiTheme="majorHAnsi" w:cstheme="majorBidi" w:eastAsiaTheme="majorEastAsia" w:hAnsiTheme="majorHAnsi"/>
          <w:b/>
          <w:b/>
          <w:bCs/>
          <w:i/>
          <w:i/>
          <w:iCs/>
          <w:color w:val="800000"/>
          <w:kern w:val="0"/>
          <w:sz w:val="22"/>
          <w:szCs w:val="22"/>
          <w:lang w:val="en-US" w:eastAsia="en-US" w:bidi="ar-SA"/>
        </w:rPr>
      </w:pPr>
      <w:r>
        <w:rPr>
          <w:rFonts w:eastAsia="" w:cs="" w:cstheme="majorBidi" w:eastAsiaTheme="majorEastAsia"/>
          <w:b/>
          <w:bCs/>
          <w:i/>
          <w:iCs/>
          <w:color w:val="800000"/>
          <w:kern w:val="0"/>
          <w:sz w:val="22"/>
          <w:szCs w:val="22"/>
          <w:lang w:val="en-US" w:eastAsia="en-US" w:bidi="ar-SA"/>
        </w:rPr>
        <w:t>Numerical stability when using the co-simulation interface</w:t>
      </w:r>
    </w:p>
    <w:p>
      <w:pPr>
        <w:pStyle w:val="Normal"/>
        <w:spacing w:before="0" w:after="0"/>
        <w:jc w:val="both"/>
        <w:rPr>
          <w:rFonts w:cs="Courier New"/>
          <w:sz w:val="22"/>
          <w:szCs w:val="22"/>
        </w:rPr>
      </w:pPr>
      <w:r>
        <w:rPr>
          <w:rFonts w:cs="Courier New"/>
          <w:sz w:val="22"/>
          <w:szCs w:val="22"/>
        </w:rPr>
        <w:t xml:space="preserve">The numerical stability of </w:t>
      </w:r>
      <w:r>
        <w:rPr>
          <w:rFonts w:eastAsia="Calibri" w:cs="Courier New" w:eastAsiaTheme="minorHAnsi"/>
          <w:color w:val="00000A"/>
          <w:kern w:val="0"/>
          <w:sz w:val="22"/>
          <w:szCs w:val="22"/>
          <w:lang w:val="en-US" w:eastAsia="en-US" w:bidi="ar-SA"/>
        </w:rPr>
        <w:t>performing co-simulation of differential equation models is a complex matter [8]. To not stray from the purpose of this manual, it can be broadly stated that it depends on the numerical stability of the integration algorithm used by 3D-ICE, on that used by the plugin and, for extreme values of the integration step, also on the co-simulation interface itself [9].</w:t>
      </w:r>
    </w:p>
    <w:p>
      <w:pPr>
        <w:pStyle w:val="Normal"/>
        <w:spacing w:before="0" w:after="0"/>
        <w:jc w:val="both"/>
        <w:rPr>
          <w:rFonts w:cs="Courier New"/>
          <w:sz w:val="22"/>
          <w:szCs w:val="22"/>
        </w:rPr>
      </w:pPr>
      <w:r>
        <w:rPr>
          <w:rFonts w:eastAsia="Calibri" w:cs="Courier New" w:eastAsiaTheme="minorHAnsi"/>
          <w:color w:val="00000A"/>
          <w:kern w:val="0"/>
          <w:sz w:val="22"/>
          <w:szCs w:val="22"/>
          <w:lang w:val="en-US" w:eastAsia="en-US" w:bidi="ar-SA"/>
        </w:rPr>
        <w:t>OpenModelica, the open source Modelica compiler we used for 3D-ICE plugins supports multiple integration methods, including BDF solvers, Runge Kutta, and forward and backward Euler. However, this is only true for all-Modelica simulations. When Modelica models are exported as FMI for co-simulation, OpenModelica currently only supports the forward Euler algorithm, that is not unconditionally stable and is currently the limiting factor as for lengthening the integration step. In the future, we expect OpenModelica to implement implicit integration algorithms for FMIs.</w:t>
      </w:r>
    </w:p>
    <w:p>
      <w:pPr>
        <w:pStyle w:val="Normal"/>
        <w:spacing w:before="0" w:after="0"/>
        <w:jc w:val="both"/>
        <w:rPr>
          <w:rFonts w:cs="Courier New"/>
          <w:sz w:val="22"/>
          <w:szCs w:val="22"/>
        </w:rPr>
      </w:pPr>
      <w:r>
        <w:rPr>
          <w:rFonts w:eastAsia="Calibri" w:cs="Courier New" w:eastAsiaTheme="minorHAnsi"/>
          <w:color w:val="00000A"/>
          <w:kern w:val="0"/>
          <w:sz w:val="22"/>
          <w:szCs w:val="22"/>
          <w:lang w:val="en-US" w:eastAsia="en-US" w:bidi="ar-SA"/>
        </w:rPr>
        <w:t>It should also be noted that the Modelica environment, not to unduly limit the potential for optimization  given by the choice of solvers, expects users to be responsible of making appropriate choices of solver algorithms and integration step, and that the fact that an unwise choice could lead to numerical instability, as well as the capability of correcting such an unwise choice, is common culture and practice in the Modelica community.</w:t>
      </w:r>
    </w:p>
    <w:p>
      <w:pPr>
        <w:pStyle w:val="Normal"/>
        <w:spacing w:before="0" w:after="0"/>
        <w:jc w:val="both"/>
        <w:rPr>
          <w:rFonts w:cs="Courier New"/>
          <w:sz w:val="22"/>
          <w:szCs w:val="22"/>
        </w:rPr>
      </w:pPr>
      <w:r>
        <w:rPr>
          <w:rFonts w:eastAsia="Calibri" w:cs="Courier New" w:eastAsiaTheme="minorHAnsi"/>
          <w:color w:val="00000A"/>
          <w:kern w:val="0"/>
          <w:sz w:val="22"/>
          <w:szCs w:val="22"/>
          <w:lang w:val="en-US" w:eastAsia="en-US" w:bidi="ar-SA"/>
        </w:rPr>
        <w:t>From a practical standpoint, we can thus borrow from the Modelica operational experience, in that numerical instability in thermal models is easy to detect, as it shows up as negative temperature values (values in Kelvin cannot be negative), or values exponentially diverging towards infinity. In all cases, with the present state of FMI support in OpenModelica, the solution to this issue is invariantly to reduce the numerical integration step.</w:t>
      </w:r>
    </w:p>
    <w:p>
      <w:pPr>
        <w:pStyle w:val="Normal"/>
        <w:spacing w:before="0" w:after="0"/>
        <w:jc w:val="both"/>
        <w:rPr>
          <w:rFonts w:cs="Courier New"/>
          <w:sz w:val="22"/>
          <w:szCs w:val="22"/>
        </w:rPr>
      </w:pPr>
      <w:r>
        <w:rPr>
          <w:rFonts w:eastAsia="Calibri" w:cs="Courier New" w:eastAsiaTheme="minorHAnsi"/>
          <w:color w:val="00000A"/>
          <w:kern w:val="0"/>
          <w:sz w:val="22"/>
          <w:szCs w:val="22"/>
          <w:lang w:val="en-US" w:eastAsia="en-US" w:bidi="ar-SA"/>
        </w:rPr>
        <w:t xml:space="preserve">As in the co-simulation interface the integration step is dictated by the 3D-ICE side, this can be done by reducing the </w:t>
      </w:r>
      <w:r>
        <w:rPr>
          <w:rFonts w:eastAsia="Calibri" w:cs="Courier New" w:ascii="Courier new" w:hAnsi="Courier new" w:eastAsiaTheme="minorHAnsi"/>
          <w:color w:val="00000A"/>
          <w:kern w:val="0"/>
          <w:sz w:val="18"/>
          <w:szCs w:val="18"/>
          <w:lang w:val="en-US" w:eastAsia="en-US" w:bidi="ar-SA"/>
        </w:rPr>
        <w:t>step</w:t>
      </w:r>
      <w:r>
        <w:rPr>
          <w:rFonts w:eastAsia="Calibri" w:cs="Courier New" w:eastAsiaTheme="minorHAnsi"/>
          <w:color w:val="00000A"/>
          <w:kern w:val="0"/>
          <w:sz w:val="22"/>
          <w:szCs w:val="22"/>
          <w:lang w:val="en-US" w:eastAsia="en-US" w:bidi="ar-SA"/>
        </w:rPr>
        <w:t xml:space="preserve"> parameter in the stack description file.</w:t>
      </w:r>
    </w:p>
    <w:p>
      <w:pPr>
        <w:pStyle w:val="Heading1"/>
        <w:numPr>
          <w:ilvl w:val="0"/>
          <w:numId w:val="2"/>
        </w:numPr>
        <w:rPr/>
      </w:pPr>
      <w:bookmarkStart w:id="111" w:name="__RefHeading___Toc2939_2842897094"/>
      <w:bookmarkEnd w:id="111"/>
      <w:r>
        <w:rPr/>
        <w:t>Usage of the 3D-ICE as Software Thermal Library</w:t>
      </w:r>
    </w:p>
    <w:p>
      <w:pPr>
        <w:pStyle w:val="Normal"/>
        <w:jc w:val="both"/>
        <w:rPr/>
      </w:pPr>
      <w:r>
        <w:rPr/>
        <w:t xml:space="preserve">3D-ICE, in addition to functioning as a stand-alone thermal simulator, can also serve as a software thermal library that can be used to build customized applications. Such requires knowledge about the organization and the use of various functions and data structures that are built into 3D-ICE. With the release of 3D-ICE 2.0, we are happy to announce that a new, useful tool for the visualization of the software library, called Doxygen [5], was used to build an online documentation of the 3D-ICE library. It contains convenient access all information about the functions and the files in the library, including a hierarchical visualization of the various dependencies between them. This new documentation can be accessed by running in the </w:t>
      </w:r>
      <w:r>
        <w:rPr>
          <w:rFonts w:cs="Courier New" w:ascii="Courier New" w:hAnsi="Courier New"/>
          <w:sz w:val="18"/>
        </w:rPr>
        <w:t>make doc</w:t>
      </w:r>
      <w:r>
        <w:rPr/>
        <w:t xml:space="preserve"> command inside the 3D-ICE folder, and then opening </w:t>
      </w:r>
      <w:r>
        <w:rPr>
          <w:rFonts w:cs="Courier New" w:ascii="Courier New" w:hAnsi="Courier New"/>
          <w:sz w:val="18"/>
        </w:rPr>
        <w:t>3d-ice/doc/html/index.html</w:t>
      </w:r>
      <w:r>
        <w:rPr/>
        <w:t xml:space="preserve"> on your web browser. We urge users who are interested in employing 3D-ICE to build custom applications to refer to this documentation.</w:t>
      </w:r>
    </w:p>
    <w:p>
      <w:pPr>
        <w:pStyle w:val="Normal"/>
        <w:jc w:val="both"/>
        <w:rPr/>
      </w:pPr>
      <w:r>
        <w:rPr/>
      </w:r>
    </w:p>
    <w:p>
      <w:pPr>
        <w:pStyle w:val="Normal"/>
        <w:keepNext w:val="true"/>
        <w:jc w:val="center"/>
        <w:rPr/>
      </w:pPr>
      <w:r>
        <w:rPr/>
        <w:drawing>
          <wp:inline distT="0" distB="0" distL="0" distR="0">
            <wp:extent cx="5943600" cy="5138420"/>
            <wp:effectExtent l="0" t="0" r="0" b="0"/>
            <wp:docPr id="34" name="Pictur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6" descr=""/>
                    <pic:cNvPicPr>
                      <a:picLocks noChangeAspect="1" noChangeArrowheads="1"/>
                    </pic:cNvPicPr>
                  </pic:nvPicPr>
                  <pic:blipFill>
                    <a:blip r:embed="rId38"/>
                    <a:stretch>
                      <a:fillRect/>
                    </a:stretch>
                  </pic:blipFill>
                  <pic:spPr bwMode="auto">
                    <a:xfrm>
                      <a:off x="0" y="0"/>
                      <a:ext cx="5943600" cy="5138420"/>
                    </a:xfrm>
                    <a:prstGeom prst="rect">
                      <a:avLst/>
                    </a:prstGeom>
                  </pic:spPr>
                </pic:pic>
              </a:graphicData>
            </a:graphic>
          </wp:inline>
        </w:drawing>
      </w:r>
    </w:p>
    <w:p>
      <w:pPr>
        <w:pStyle w:val="Caption1"/>
        <w:jc w:val="center"/>
        <w:rPr/>
      </w:pPr>
      <w:r>
        <w:rPr/>
        <w:t>Figure 2</w:t>
      </w:r>
      <w:r>
        <w:rPr>
          <w:rFonts w:eastAsia="Calibri" w:cs=""/>
          <w:b/>
          <w:bCs/>
          <w:color w:val="000000" w:themeColor="text1"/>
          <w:kern w:val="0"/>
          <w:sz w:val="18"/>
          <w:szCs w:val="18"/>
          <w:lang w:val="en-US" w:eastAsia="en-US" w:bidi="ar-SA"/>
        </w:rPr>
        <w:t>3</w:t>
      </w:r>
      <w:r>
        <w:rPr/>
        <w:t>: Doxygen documentation for 3D-ICE 2.0</w:t>
      </w:r>
    </w:p>
    <w:p>
      <w:pPr>
        <w:pStyle w:val="Heading2"/>
        <w:numPr>
          <w:ilvl w:val="0"/>
          <w:numId w:val="26"/>
        </w:numPr>
        <w:rPr/>
      </w:pPr>
      <w:bookmarkStart w:id="112" w:name="__RefHeading___Toc3001_2393532176"/>
      <w:bookmarkStart w:id="113" w:name="_Toc442446460"/>
      <w:bookmarkEnd w:id="112"/>
      <w:r>
        <w:rPr>
          <w:rFonts w:cs="Courier New" w:ascii="Courier New" w:hAnsi="Courier New"/>
        </w:rPr>
        <w:t>StackDescription_t</w:t>
      </w:r>
      <w:r>
        <w:rPr>
          <w:rFonts w:cs="Calibri" w:ascii="Calibri" w:hAnsi="Calibri" w:asciiTheme="minorHAnsi" w:cstheme="minorHAnsi" w:hAnsiTheme="minorHAnsi"/>
        </w:rPr>
        <w:t xml:space="preserve">, </w:t>
      </w:r>
      <w:bookmarkEnd w:id="113"/>
      <w:r>
        <w:rPr>
          <w:rFonts w:cs="Courier New" w:ascii="Courier New" w:hAnsi="Courier New"/>
        </w:rPr>
        <w:t>Analysis_t and Output_t</w:t>
      </w:r>
    </w:p>
    <w:p>
      <w:pPr>
        <w:pStyle w:val="Normal"/>
        <w:jc w:val="both"/>
        <w:rPr/>
      </w:pPr>
      <w:r>
        <w:rPr/>
        <w:t>Using 3D-ICE as a software library involves several steps. First, the problem must be initialized and the necessary data structures containing the 3D IC information must be filled. The three data structures that storethe description of the IC stackand the configuration of the simulation to be run are, respectively,</w:t>
      </w:r>
      <w:r>
        <w:rPr>
          <w:rFonts w:cs="Courier New" w:ascii="Courier New" w:hAnsi="Courier New"/>
          <w:sz w:val="18"/>
        </w:rPr>
        <w:t>StackDescription_t</w:t>
      </w:r>
      <w:r>
        <w:rPr>
          <w:rFonts w:cs="Calibri" w:cstheme="minorHAnsi"/>
        </w:rPr>
        <w:t>,</w:t>
      </w:r>
      <w:r>
        <w:rPr>
          <w:rFonts w:cs="Courier New" w:ascii="Courier New" w:hAnsi="Courier New"/>
          <w:sz w:val="18"/>
        </w:rPr>
        <w:t>Analysys_t</w:t>
      </w:r>
      <w:r>
        <w:rPr>
          <w:rFonts w:cs="Calibri" w:cstheme="minorHAnsi"/>
        </w:rPr>
        <w:t xml:space="preserve"> and </w:t>
      </w:r>
      <w:r>
        <w:rPr>
          <w:rFonts w:cs="Courier New" w:ascii="Courier New" w:hAnsi="Courier New"/>
          <w:sz w:val="18"/>
        </w:rPr>
        <w:t>Output_t</w:t>
      </w:r>
      <w:r>
        <w:rPr/>
        <w:t xml:space="preserve">. To use these types, the header files that must be included in the main file to access the homonym data structures are </w:t>
      </w:r>
      <w:r>
        <w:rPr>
          <w:rFonts w:cs="Courier New" w:ascii="Courier New" w:hAnsi="Courier New"/>
          <w:sz w:val="18"/>
        </w:rPr>
        <w:t>stack_description.h, analysis.h</w:t>
      </w:r>
      <w:r>
        <w:rPr>
          <w:rFonts w:cs="Calibri" w:cstheme="minorHAnsi"/>
        </w:rPr>
        <w:t xml:space="preserve"> and </w:t>
      </w:r>
      <w:r>
        <w:rPr>
          <w:rFonts w:cs="Courier New" w:ascii="Courier New" w:hAnsi="Courier New"/>
          <w:sz w:val="18"/>
        </w:rPr>
        <w:t>output.h.</w:t>
      </w:r>
    </w:p>
    <w:p>
      <w:pPr>
        <w:pStyle w:val="Normal"/>
        <w:jc w:val="both"/>
        <w:rPr/>
      </w:pPr>
      <w:r>
        <w:rPr/>
        <w:t>These data structure types collect all the data pertaining to the 3D IC structure and floorplans. An instance of these data typeswill then be related to theStack Description File. The functions available to initialize, fill and destroyan instance of these two variablesare:</w:t>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stack_description_init (StackDescription_t*)</w:t>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analysis_init (Analysis_t*)</w:t>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output_init (Output_t*)</w:t>
      </w:r>
    </w:p>
    <w:p>
      <w:pPr>
        <w:pStyle w:val="ListParagraph"/>
        <w:jc w:val="both"/>
        <w:rPr>
          <w:rFonts w:ascii="Courier New" w:hAnsi="Courier New" w:cs="Courier New"/>
          <w:sz w:val="18"/>
          <w:szCs w:val="18"/>
        </w:rPr>
      </w:pPr>
      <w:r>
        <w:rPr>
          <w:rFonts w:cs="Courier New" w:ascii="Courier New" w:hAnsi="Courier New"/>
          <w:sz w:val="18"/>
          <w:szCs w:val="18"/>
        </w:rPr>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parse_stack_description_file</w:t>
      </w:r>
    </w:p>
    <w:p>
      <w:pPr>
        <w:pStyle w:val="ListParagraph"/>
        <w:jc w:val="both"/>
        <w:rPr>
          <w:rFonts w:ascii="Courier New" w:hAnsi="Courier New" w:cs="Courier New"/>
          <w:sz w:val="18"/>
          <w:szCs w:val="18"/>
        </w:rPr>
      </w:pPr>
      <w:r>
        <w:rPr>
          <w:rFonts w:cs="Courier New" w:ascii="Courier New" w:hAnsi="Courier New"/>
          <w:sz w:val="18"/>
          <w:szCs w:val="18"/>
        </w:rPr>
        <w:t>(String_t, StackDescription_t*, Analysis_t*, Output_t*)</w:t>
      </w:r>
    </w:p>
    <w:p>
      <w:pPr>
        <w:pStyle w:val="ListParagraph"/>
        <w:jc w:val="both"/>
        <w:rPr>
          <w:rFonts w:ascii="Courier New" w:hAnsi="Courier New" w:cs="Courier New"/>
          <w:sz w:val="18"/>
          <w:szCs w:val="18"/>
        </w:rPr>
      </w:pPr>
      <w:r>
        <w:rPr>
          <w:rFonts w:cs="Courier New" w:ascii="Courier New" w:hAnsi="Courier New"/>
          <w:sz w:val="18"/>
          <w:szCs w:val="18"/>
        </w:rPr>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stack_description_destroy (StackDescription_t*)</w:t>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analysis_destroy (Analysis_t*)</w:t>
      </w:r>
    </w:p>
    <w:p>
      <w:pPr>
        <w:pStyle w:val="ListParagraph"/>
        <w:numPr>
          <w:ilvl w:val="0"/>
          <w:numId w:val="15"/>
        </w:numPr>
        <w:jc w:val="both"/>
        <w:rPr>
          <w:rFonts w:ascii="Courier New" w:hAnsi="Courier New" w:cs="Courier New"/>
          <w:sz w:val="18"/>
          <w:szCs w:val="18"/>
        </w:rPr>
      </w:pPr>
      <w:r>
        <w:rPr>
          <w:rFonts w:cs="Courier New" w:ascii="Courier New" w:hAnsi="Courier New"/>
          <w:sz w:val="18"/>
          <w:szCs w:val="18"/>
        </w:rPr>
        <w:t>output_destroy (Output_t*).</w:t>
      </w:r>
    </w:p>
    <w:p>
      <w:pPr>
        <w:pStyle w:val="Normal"/>
        <w:jc w:val="both"/>
        <w:rPr>
          <w:rFonts w:ascii="Courier New" w:hAnsi="Courier New" w:cs="Courier New"/>
          <w:sz w:val="18"/>
          <w:szCs w:val="18"/>
        </w:rPr>
      </w:pPr>
      <w:r>
        <w:rPr/>
        <w:t xml:space="preserve">In particular, the function </w:t>
      </w:r>
      <w:r>
        <w:rPr>
          <w:rFonts w:cs="Courier New" w:ascii="Courier New" w:hAnsi="Courier New"/>
          <w:sz w:val="18"/>
          <w:szCs w:val="18"/>
        </w:rPr>
        <w:t>parse_stack_description_file,</w:t>
      </w:r>
      <w:r>
        <w:rPr/>
        <w:t xml:space="preserve">parses he contet of a stack file and places the information read into the corresponding data structure. This function can be accesses by including the heard file </w:t>
      </w:r>
      <w:r>
        <w:rPr>
          <w:rFonts w:cs="Courier New" w:ascii="Courier New" w:hAnsi="Courier New"/>
          <w:sz w:val="18"/>
          <w:szCs w:val="18"/>
        </w:rPr>
        <w:t>stack_file_parser.h</w:t>
      </w:r>
      <w:r>
        <w:rPr>
          <w:rFonts w:cs="Calibri" w:cstheme="minorHAnsi"/>
          <w:szCs w:val="18"/>
        </w:rPr>
        <w:t>.</w:t>
      </w:r>
      <w:r>
        <w:rPr/>
        <w:t xml:space="preserve"> The functions to access the information in this data structure are in the doxygen documentation. </w:t>
      </w:r>
    </w:p>
    <w:p>
      <w:pPr>
        <w:pStyle w:val="Heading2"/>
        <w:numPr>
          <w:ilvl w:val="0"/>
          <w:numId w:val="26"/>
        </w:numPr>
        <w:rPr>
          <w:rFonts w:ascii="Courier New" w:hAnsi="Courier New" w:cs="Courier New"/>
        </w:rPr>
      </w:pPr>
      <w:bookmarkStart w:id="114" w:name="__RefHeading___Toc3003_2393532176"/>
      <w:bookmarkStart w:id="115" w:name="_Toc442446461"/>
      <w:bookmarkEnd w:id="114"/>
      <w:bookmarkEnd w:id="115"/>
      <w:r>
        <w:rPr>
          <w:rFonts w:cs="Courier New" w:ascii="Courier New" w:hAnsi="Courier New"/>
        </w:rPr>
        <w:t>ThermalData_t</w:t>
      </w:r>
    </w:p>
    <w:p>
      <w:pPr>
        <w:pStyle w:val="Normal"/>
        <w:jc w:val="both"/>
        <w:rPr/>
      </w:pPr>
      <w:r>
        <w:rPr/>
        <w:t xml:space="preserve">This data structure type collects all the data needed for the thermal simulation, such astemperatures, power inputs, matrices representing the system equations, etc. Its type is declared in the header </w:t>
      </w:r>
      <w:r>
        <w:rPr>
          <w:rFonts w:cs="Courier New" w:ascii="Courier New" w:hAnsi="Courier New"/>
          <w:sz w:val="18"/>
        </w:rPr>
        <w:t>thermal_data.h</w:t>
      </w:r>
      <w:r>
        <w:rPr/>
        <w:t xml:space="preserve">. The functions to initialize, build and destroy a </w:t>
      </w:r>
      <w:r>
        <w:rPr>
          <w:rFonts w:cs="Courier New" w:ascii="Courier New" w:hAnsi="Courier New"/>
          <w:sz w:val="18"/>
          <w:szCs w:val="18"/>
        </w:rPr>
        <w:t>ThermalData_t</w:t>
      </w:r>
      <w:r>
        <w:rPr/>
        <w:t xml:space="preserve"> variable are:</w:t>
      </w:r>
    </w:p>
    <w:p>
      <w:pPr>
        <w:pStyle w:val="ListParagraph"/>
        <w:numPr>
          <w:ilvl w:val="0"/>
          <w:numId w:val="16"/>
        </w:numPr>
        <w:jc w:val="both"/>
        <w:rPr>
          <w:rFonts w:ascii="Courier New" w:hAnsi="Courier New" w:cs="Courier New"/>
          <w:sz w:val="18"/>
          <w:szCs w:val="18"/>
        </w:rPr>
      </w:pPr>
      <w:r>
        <w:rPr>
          <w:rFonts w:cs="Courier New" w:ascii="Courier New" w:hAnsi="Courier New"/>
          <w:sz w:val="18"/>
          <w:szCs w:val="18"/>
        </w:rPr>
        <w:t>thermal_data_init (ThermalData_t*)</w:t>
      </w:r>
    </w:p>
    <w:p>
      <w:pPr>
        <w:pStyle w:val="ListParagraph"/>
        <w:numPr>
          <w:ilvl w:val="0"/>
          <w:numId w:val="16"/>
        </w:numPr>
        <w:jc w:val="both"/>
        <w:rPr>
          <w:rFonts w:ascii="Courier New" w:hAnsi="Courier New" w:cs="Courier New"/>
          <w:sz w:val="18"/>
          <w:szCs w:val="18"/>
        </w:rPr>
      </w:pPr>
      <w:r>
        <w:rPr>
          <w:rFonts w:cs="Courier New" w:ascii="Courier New" w:hAnsi="Courier New"/>
          <w:sz w:val="18"/>
          <w:szCs w:val="18"/>
        </w:rPr>
        <w:t>thermal_data_build</w:t>
      </w:r>
    </w:p>
    <w:p>
      <w:pPr>
        <w:pStyle w:val="ListParagraph"/>
        <w:jc w:val="both"/>
        <w:rPr>
          <w:rFonts w:ascii="Courier New" w:hAnsi="Courier New" w:cs="Courier New"/>
          <w:sz w:val="18"/>
          <w:szCs w:val="18"/>
        </w:rPr>
      </w:pPr>
      <w:r>
        <w:rPr>
          <w:rFonts w:cs="Courier New" w:ascii="Courier New" w:hAnsi="Courier New"/>
          <w:sz w:val="18"/>
          <w:szCs w:val="18"/>
        </w:rPr>
        <w:t>(ThermalData_t*, StackElementList_t* ,Dimensions_t*, Analysis_t*)</w:t>
      </w:r>
    </w:p>
    <w:p>
      <w:pPr>
        <w:pStyle w:val="ListParagraph"/>
        <w:numPr>
          <w:ilvl w:val="0"/>
          <w:numId w:val="16"/>
        </w:numPr>
        <w:jc w:val="both"/>
        <w:rPr>
          <w:rFonts w:ascii="Courier New" w:hAnsi="Courier New" w:cs="Courier New"/>
          <w:sz w:val="18"/>
          <w:szCs w:val="18"/>
        </w:rPr>
      </w:pPr>
      <w:r>
        <w:rPr>
          <w:rFonts w:cs="Courier New" w:ascii="Courier New" w:hAnsi="Courier New"/>
          <w:sz w:val="18"/>
          <w:szCs w:val="18"/>
        </w:rPr>
        <w:t>thermal_data_destroy (ThermalData_t*).</w:t>
      </w:r>
    </w:p>
    <w:p>
      <w:pPr>
        <w:pStyle w:val="Normal"/>
        <w:jc w:val="both"/>
        <w:rPr/>
      </w:pPr>
      <w:r>
        <w:rPr/>
        <w:t>Just as an instance of</w:t>
      </w:r>
      <w:r>
        <w:rPr>
          <w:rFonts w:cs="Courier New" w:ascii="Courier New" w:hAnsi="Courier New"/>
          <w:sz w:val="18"/>
          <w:szCs w:val="18"/>
        </w:rPr>
        <w:t>StackDescripiton_t, Analysis_t</w:t>
      </w:r>
      <w:r>
        <w:rPr/>
        <w:t xml:space="preserve">and </w:t>
      </w:r>
      <w:r>
        <w:rPr>
          <w:rFonts w:cs="Courier New" w:ascii="Courier New" w:hAnsi="Courier New"/>
          <w:sz w:val="18"/>
          <w:szCs w:val="18"/>
        </w:rPr>
        <w:t>Output_t</w:t>
      </w:r>
      <w:r>
        <w:rPr/>
        <w:t xml:space="preserve"> are tied to a Stack Description File,an instance of</w:t>
      </w:r>
      <w:r>
        <w:rPr>
          <w:rFonts w:cs="Courier New" w:ascii="Courier New" w:hAnsi="Courier New"/>
          <w:sz w:val="18"/>
          <w:szCs w:val="18"/>
        </w:rPr>
        <w:t>ThermalData_t</w:t>
      </w:r>
      <w:r>
        <w:rPr/>
        <w:t xml:space="preserve"> depends upon the sequence of stack elements in </w:t>
      </w:r>
      <w:r>
        <w:rPr>
          <w:rFonts w:cs="Courier New" w:ascii="Courier New" w:hAnsi="Courier New"/>
          <w:sz w:val="18"/>
          <w:szCs w:val="18"/>
        </w:rPr>
        <w:t>StackElementList_t</w:t>
      </w:r>
      <w:r>
        <w:rPr>
          <w:rFonts w:cs="Calibri" w:cstheme="minorHAnsi"/>
          <w:szCs w:val="18"/>
        </w:rPr>
        <w:t xml:space="preserve"> (a member of </w:t>
      </w:r>
      <w:r>
        <w:rPr>
          <w:rFonts w:cs="Courier New" w:ascii="Courier New" w:hAnsi="Courier New"/>
          <w:sz w:val="18"/>
          <w:szCs w:val="18"/>
        </w:rPr>
        <w:t xml:space="preserve">StackDescription_t) </w:t>
      </w:r>
      <w:r>
        <w:rPr/>
        <w:t xml:space="preserve">and </w:t>
      </w:r>
      <w:r>
        <w:rPr>
          <w:rFonts w:cs="Courier New" w:ascii="Courier New" w:hAnsi="Courier New"/>
          <w:sz w:val="18"/>
          <w:szCs w:val="18"/>
        </w:rPr>
        <w:t>Analysis_t</w:t>
      </w:r>
      <w:r>
        <w:rPr/>
        <w:t>. Henceit is necessary to initialize and fill the</w:t>
      </w:r>
      <w:r>
        <w:rPr>
          <w:rFonts w:cs="Courier New" w:ascii="Courier New" w:hAnsi="Courier New"/>
          <w:sz w:val="18"/>
          <w:szCs w:val="18"/>
        </w:rPr>
        <w:t>StackDescription_t</w:t>
      </w:r>
      <w:r>
        <w:rPr/>
        <w:t xml:space="preserve"> and </w:t>
      </w:r>
      <w:r>
        <w:rPr>
          <w:rFonts w:cs="Courier New" w:ascii="Courier New" w:hAnsi="Courier New"/>
          <w:sz w:val="18"/>
          <w:szCs w:val="18"/>
        </w:rPr>
        <w:t>Analysis_t</w:t>
      </w:r>
      <w:r>
        <w:rPr/>
        <w:t xml:space="preserve"> variables before filling the</w:t>
      </w:r>
      <w:r>
        <w:rPr>
          <w:rFonts w:cs="Courier New" w:ascii="Courier New" w:hAnsi="Courier New"/>
          <w:sz w:val="18"/>
          <w:szCs w:val="18"/>
        </w:rPr>
        <w:t>ThermalData_t</w:t>
      </w:r>
      <w:r>
        <w:rPr/>
        <w:t xml:space="preserve"> variable. And for the rest of the simulation project, thethree variables must be used in tandem since they refer to the same problem.</w:t>
      </w:r>
    </w:p>
    <w:p>
      <w:pPr>
        <w:pStyle w:val="Heading2"/>
        <w:numPr>
          <w:ilvl w:val="0"/>
          <w:numId w:val="20"/>
        </w:numPr>
        <w:rPr/>
      </w:pPr>
      <w:bookmarkStart w:id="116" w:name="__RefHeading___Toc3005_2393532176"/>
      <w:bookmarkStart w:id="117" w:name="_Toc442446462"/>
      <w:bookmarkEnd w:id="116"/>
      <w:bookmarkEnd w:id="117"/>
      <w:r>
        <w:rPr/>
        <w:t>Emulation and thermal output</w:t>
      </w:r>
    </w:p>
    <w:p>
      <w:pPr>
        <w:pStyle w:val="Normal"/>
        <w:jc w:val="both"/>
        <w:rPr/>
      </w:pPr>
      <w:r>
        <w:rPr/>
        <w:t>Once the data structures mentioned in the previous sectionshave been filled, the next step is to execute the simulation. It can be done using the functions</w:t>
      </w:r>
    </w:p>
    <w:p>
      <w:pPr>
        <w:pStyle w:val="ListParagraph"/>
        <w:numPr>
          <w:ilvl w:val="0"/>
          <w:numId w:val="17"/>
        </w:numPr>
        <w:jc w:val="both"/>
        <w:rPr>
          <w:rFonts w:ascii="Courier New" w:hAnsi="Courier New" w:cs="Courier New"/>
          <w:sz w:val="18"/>
        </w:rPr>
      </w:pPr>
      <w:r>
        <w:rPr>
          <w:rFonts w:cs="Courier New" w:ascii="Courier New" w:hAnsi="Courier New"/>
          <w:sz w:val="18"/>
        </w:rPr>
        <w:t>emulate_step (ThermalData_t*, Dimensions_t*, Analysis_t*)</w:t>
      </w:r>
    </w:p>
    <w:p>
      <w:pPr>
        <w:pStyle w:val="ListParagraph"/>
        <w:numPr>
          <w:ilvl w:val="0"/>
          <w:numId w:val="17"/>
        </w:numPr>
        <w:jc w:val="both"/>
        <w:rPr>
          <w:rFonts w:ascii="Courier New" w:hAnsi="Courier New" w:cs="Courier New"/>
          <w:sz w:val="18"/>
        </w:rPr>
      </w:pPr>
      <w:r>
        <w:rPr>
          <w:rFonts w:cs="Courier New" w:ascii="Courier New" w:hAnsi="Courier New"/>
          <w:sz w:val="18"/>
        </w:rPr>
        <w:t>emulate_slot (ThermalData_t*, Dimensions_t*, Analysis_t*)</w:t>
      </w:r>
    </w:p>
    <w:p>
      <w:pPr>
        <w:pStyle w:val="ListParagraph"/>
        <w:numPr>
          <w:ilvl w:val="0"/>
          <w:numId w:val="17"/>
        </w:numPr>
        <w:jc w:val="both"/>
        <w:rPr>
          <w:rFonts w:ascii="Courier New" w:hAnsi="Courier New" w:cs="Courier New"/>
          <w:sz w:val="18"/>
        </w:rPr>
      </w:pPr>
      <w:r>
        <w:rPr>
          <w:rFonts w:cs="Courier New" w:ascii="Courier New" w:hAnsi="Courier New"/>
          <w:sz w:val="18"/>
        </w:rPr>
        <w:t>emulate_steady (ThermalData_t*, Dimensions_t*, Analysis_t*).</w:t>
      </w:r>
    </w:p>
    <w:p>
      <w:pPr>
        <w:pStyle w:val="Normal"/>
        <w:jc w:val="both"/>
        <w:rPr>
          <w:rFonts w:cs="Calibri" w:cstheme="minorHAnsi"/>
        </w:rPr>
      </w:pPr>
      <w:r>
        <w:rPr>
          <w:rFonts w:cs="Courier New" w:ascii="Courier New" w:hAnsi="Courier New"/>
          <w:sz w:val="18"/>
        </w:rPr>
        <w:t>emulate_step</w:t>
      </w:r>
      <w:r>
        <w:rPr>
          <w:rFonts w:cs="Calibri" w:cstheme="minorHAnsi"/>
        </w:rPr>
        <w:t>increments the simulation time by a single time step and then terminates- this function can be called iteratively in a loop until the end of the ToS, controlled using the return variables of these functions which indicating whether or not the simulation has reached certain epochs (see the description in the files containing these functions for more details); while</w:t>
      </w:r>
      <w:r>
        <w:rPr>
          <w:rFonts w:cs="Courier New" w:ascii="Courier New" w:hAnsi="Courier New"/>
          <w:sz w:val="18"/>
        </w:rPr>
        <w:t>emulate_slot</w:t>
      </w:r>
      <w:r>
        <w:rPr>
          <w:rFonts w:cs="Calibri" w:cstheme="minorHAnsi"/>
        </w:rPr>
        <w:t xml:space="preserve">increments the simulation time until the simulation time of a single power value finishes.Finally, the </w:t>
      </w:r>
      <w:r>
        <w:rPr>
          <w:rFonts w:cs="Courier New" w:ascii="Courier New" w:hAnsi="Courier New"/>
          <w:sz w:val="18"/>
        </w:rPr>
        <w:t>emulate_steady</w:t>
      </w:r>
      <w:r>
        <w:rPr>
          <w:rFonts w:cs="Calibri" w:cstheme="minorHAnsi"/>
        </w:rPr>
        <w:t>performs the steady simulation (one step simulation).</w:t>
      </w:r>
    </w:p>
    <w:p>
      <w:pPr>
        <w:pStyle w:val="Normal"/>
        <w:jc w:val="both"/>
        <w:rPr>
          <w:rFonts w:cs="Calibri" w:cstheme="minorHAnsi"/>
        </w:rPr>
      </w:pPr>
      <w:r>
        <w:rPr>
          <w:rFonts w:cs="Calibri" w:cstheme="minorHAnsi"/>
        </w:rPr>
        <w:t xml:space="preserve">Outputs canusually be read from the thermal analysis before, during and at the end of the simulation in the text files mentioned in the output instructions written in the .stk file of the project. The structure </w:t>
      </w:r>
      <w:r>
        <w:rPr>
          <w:rFonts w:cs="Courier New" w:ascii="Courier New" w:hAnsi="Courier New"/>
          <w:sz w:val="18"/>
        </w:rPr>
        <w:t>Output_t</w:t>
      </w:r>
      <w:r>
        <w:rPr>
          <w:rFonts w:cs="Calibri" w:cstheme="minorHAnsi"/>
        </w:rPr>
        <w:t xml:space="preserve"> stores the list of outputs that should be generated.</w:t>
      </w:r>
    </w:p>
    <w:p>
      <w:pPr>
        <w:pStyle w:val="Normal"/>
        <w:jc w:val="both"/>
        <w:rPr>
          <w:rFonts w:cs="Calibri" w:cstheme="minorHAnsi"/>
        </w:rPr>
      </w:pPr>
      <w:r>
        <w:rPr>
          <w:rFonts w:cs="Calibri" w:cstheme="minorHAnsi"/>
        </w:rPr>
        <w:t>If you intend to use 3D-ICE as a software library, there are functions in 3D-ICE that enable the extraction ofthe thermal state of a single floorplan element, an entire floorplan, a single channel outlet or all the coolant outlets in a givenchannel layer at any time during the simulation. It is also possible to readthe temperature of a single thermal cell or print directly the thermal map (a matrix) for a specific layer in the stack. Some of these functions require you to refer to flooplan elements, layers etc. using the corresponding identifiers declared in the Stack Description File. The functions available to generate theoutput are:</w:t>
      </w:r>
    </w:p>
    <w:p>
      <w:pPr>
        <w:pStyle w:val="ListParagraph"/>
        <w:numPr>
          <w:ilvl w:val="0"/>
          <w:numId w:val="31"/>
        </w:numPr>
        <w:jc w:val="both"/>
        <w:rPr>
          <w:rFonts w:ascii="Courier New" w:hAnsi="Courier New" w:cs="Courier New"/>
          <w:sz w:val="18"/>
        </w:rPr>
      </w:pPr>
      <w:r>
        <w:rPr>
          <w:rFonts w:cs="Courier New" w:ascii="Courier New" w:hAnsi="Courier New"/>
          <w:sz w:val="18"/>
        </w:rPr>
        <w:t>generate_output_headers (Output_t *, Dimensions_t *, String_t)</w:t>
      </w:r>
    </w:p>
    <w:p>
      <w:pPr>
        <w:pStyle w:val="ListParagraph"/>
        <w:numPr>
          <w:ilvl w:val="0"/>
          <w:numId w:val="31"/>
        </w:numPr>
        <w:jc w:val="both"/>
        <w:rPr>
          <w:rFonts w:ascii="Courier New" w:hAnsi="Courier New" w:cs="Courier New"/>
          <w:sz w:val="18"/>
        </w:rPr>
      </w:pPr>
      <w:r>
        <w:rPr>
          <w:rFonts w:cs="Courier New" w:ascii="Courier New" w:hAnsi="Courier New"/>
          <w:sz w:val="18"/>
        </w:rPr>
        <w:t>generate_output</w:t>
      </w:r>
    </w:p>
    <w:p>
      <w:pPr>
        <w:pStyle w:val="ListParagraph"/>
        <w:jc w:val="both"/>
        <w:rPr>
          <w:rFonts w:ascii="Courier New" w:hAnsi="Courier New" w:cs="Courier New"/>
          <w:sz w:val="18"/>
        </w:rPr>
      </w:pPr>
      <w:r>
        <w:rPr>
          <w:rFonts w:cs="Courier New" w:ascii="Courier New" w:hAnsi="Courier New"/>
          <w:sz w:val="18"/>
        </w:rPr>
        <w:t>(Output_t*, Dimensions_t*, Temperature_t*, Source_t*, Time_t, OutputInstant_t)</w:t>
      </w:r>
    </w:p>
    <w:p>
      <w:pPr>
        <w:pStyle w:val="Normal"/>
        <w:jc w:val="both"/>
        <w:rPr>
          <w:rFonts w:cs="Calibri" w:cstheme="minorHAnsi"/>
        </w:rPr>
      </w:pPr>
      <w:r>
        <w:rPr>
          <w:rFonts w:cs="Calibri" w:cstheme="minorHAnsi"/>
        </w:rPr>
        <w:t xml:space="preserve">The first function creates the text files and must be called only once before the simulation. The function </w:t>
      </w:r>
      <w:r>
        <w:rPr>
          <w:rFonts w:cs="Courier New" w:ascii="Courier New" w:hAnsi="Courier New"/>
          <w:sz w:val="18"/>
        </w:rPr>
        <w:t>generate_output</w:t>
      </w:r>
      <w:r>
        <w:rPr>
          <w:rFonts w:cs="Calibri" w:cstheme="minorHAnsi"/>
        </w:rPr>
        <w:t>, instead, must be called whenever the output (as the current thermal state of the IC) is needed.</w:t>
      </w:r>
    </w:p>
    <w:p>
      <w:pPr>
        <w:pStyle w:val="Normal"/>
        <w:jc w:val="both"/>
        <w:rPr>
          <w:rFonts w:cs="Calibri" w:cstheme="minorHAnsi"/>
        </w:rPr>
      </w:pPr>
      <w:r>
        <w:rPr>
          <w:rFonts w:cs="Calibri" w:cstheme="minorHAnsi"/>
        </w:rPr>
        <w:t xml:space="preserve">To learn more about all the functions and data structures descried above, please refer to the Doxygen documentation of 3D-ICE in the </w:t>
      </w:r>
      <w:r>
        <w:rPr>
          <w:rFonts w:cs="Courier New" w:ascii="Courier New" w:hAnsi="Courier New"/>
          <w:sz w:val="18"/>
        </w:rPr>
        <w:t>3D-ICE/doc/html/</w:t>
      </w:r>
      <w:r>
        <w:rPr>
          <w:rFonts w:cs="Calibri" w:cstheme="minorHAnsi"/>
        </w:rPr>
        <w:t xml:space="preserve"> folder. </w:t>
      </w:r>
    </w:p>
    <w:p>
      <w:pPr>
        <w:pStyle w:val="Heading2"/>
        <w:numPr>
          <w:ilvl w:val="0"/>
          <w:numId w:val="20"/>
        </w:numPr>
        <w:rPr>
          <w:rFonts w:ascii="Courier New" w:hAnsi="Courier New" w:cs="Courier New"/>
        </w:rPr>
      </w:pPr>
      <w:bookmarkStart w:id="118" w:name="__RefHeading___Toc3007_2393532176"/>
      <w:bookmarkStart w:id="119" w:name="_Toc442446463"/>
      <w:bookmarkEnd w:id="118"/>
      <w:bookmarkEnd w:id="119"/>
      <w:r>
        <w:rPr>
          <w:rFonts w:cs="Courier New" w:ascii="Courier New" w:hAnsi="Courier New"/>
        </w:rPr>
        <w:t>Socket</w:t>
      </w:r>
    </w:p>
    <w:p>
      <w:pPr>
        <w:pStyle w:val="Normal"/>
        <w:jc w:val="both"/>
        <w:rPr>
          <w:rFonts w:cs="Calibri" w:cstheme="minorHAnsi"/>
        </w:rPr>
      </w:pPr>
      <w:r>
        <w:rPr/>
        <w:t xml:space="preserve">The client / server communication can be implemented using the data type </w:t>
      </w:r>
      <w:r>
        <w:rPr>
          <w:rFonts w:cs="Courier New" w:ascii="Courier New" w:hAnsi="Courier New"/>
          <w:sz w:val="18"/>
        </w:rPr>
        <w:t>Socket_t</w:t>
      </w:r>
      <w:r>
        <w:rPr>
          <w:rFonts w:cs="Calibri" w:cstheme="minorHAnsi"/>
        </w:rPr>
        <w:t xml:space="preserve">. To use it, the header file </w:t>
      </w:r>
      <w:r>
        <w:rPr>
          <w:rFonts w:cs="Courier New" w:ascii="Courier New" w:hAnsi="Courier New"/>
          <w:sz w:val="18"/>
        </w:rPr>
        <w:t>network_socket.h</w:t>
      </w:r>
      <w:r>
        <w:rPr>
          <w:rFonts w:cs="Calibri" w:cstheme="minorHAnsi"/>
        </w:rPr>
        <w:t xml:space="preserve"> must be included in the source file. The documentation of the functions that can be used to init, open and close the network sockets, as well as to send or receive messages are available through the Doxygen documentation.</w:t>
      </w:r>
    </w:p>
    <w:p>
      <w:pPr>
        <w:pStyle w:val="Normal"/>
        <w:jc w:val="both"/>
        <w:rPr>
          <w:rFonts w:cs="Calibri" w:cstheme="minorHAnsi"/>
        </w:rPr>
      </w:pPr>
      <w:r>
        <w:rPr>
          <w:rFonts w:cs="Calibri" w:cstheme="minorHAnsi"/>
        </w:rPr>
        <w:t xml:space="preserve">The following example resumes the communication pattern to follow to establish an exchange of messages between the two processes. Please note that the server must use the data structure of type </w:t>
      </w:r>
      <w:r>
        <w:rPr>
          <w:rFonts w:cs="Courier New" w:ascii="Courier New" w:hAnsi="Courier New"/>
          <w:sz w:val="18"/>
        </w:rPr>
        <w:t>Socket</w:t>
      </w:r>
      <w:r>
        <w:rPr>
          <w:rFonts w:cs="Calibri" w:cstheme="minorHAnsi"/>
        </w:rPr>
        <w:t xml:space="preserve"> twice: one to handle a socket that waits for connections from a client (this is called </w:t>
      </w:r>
      <w:r>
        <w:rPr>
          <w:rFonts w:cs="Courier New" w:ascii="Courier New" w:hAnsi="Courier New"/>
          <w:sz w:val="18"/>
        </w:rPr>
        <w:t>server</w:t>
      </w:r>
      <w:r>
        <w:rPr>
          <w:rFonts w:cs="Calibri" w:cstheme="minorHAnsi"/>
        </w:rPr>
        <w:t xml:space="preserve"> in the example) and a second one to use to communicate with the client (called </w:t>
      </w:r>
      <w:r>
        <w:rPr>
          <w:rFonts w:cs="Courier New" w:ascii="Courier New" w:hAnsi="Courier New"/>
          <w:sz w:val="18"/>
        </w:rPr>
        <w:t>client</w:t>
      </w:r>
      <w:r>
        <w:rPr>
          <w:rFonts w:cs="Calibri" w:cstheme="minorHAnsi"/>
        </w:rPr>
        <w:t xml:space="preserve"> in the example) after the connection between the two processes has been established. This mechanism of using two different sockets allows the server to handle many clients at the same time but this functionality is not shown (implemented) in </w:t>
      </w:r>
      <w:r>
        <w:rPr>
          <w:rFonts w:cs="Courier New" w:ascii="Courier New" w:hAnsi="Courier New"/>
          <w:sz w:val="18"/>
        </w:rPr>
        <w:t>3D-ICE-Server.c</w:t>
      </w:r>
      <w:r>
        <w:rPr>
          <w:rFonts w:cs="Calibri" w:cstheme="minorHAnsi"/>
        </w:rPr>
        <w:t xml:space="preserve">. </w:t>
      </w:r>
    </w:p>
    <w:tbl>
      <w:tblPr>
        <w:tblStyle w:val="Tabellenraster"/>
        <w:tblW w:w="9558" w:type="dxa"/>
        <w:jc w:val="left"/>
        <w:tblInd w:w="-10" w:type="dxa"/>
        <w:tblLayout w:type="fixed"/>
        <w:tblCellMar>
          <w:top w:w="0" w:type="dxa"/>
          <w:left w:w="98" w:type="dxa"/>
          <w:bottom w:w="0" w:type="dxa"/>
          <w:right w:w="108" w:type="dxa"/>
        </w:tblCellMar>
        <w:tblLook w:firstRow="1" w:noVBand="1" w:lastRow="0" w:firstColumn="1" w:lastColumn="0" w:noHBand="0" w:val="04a0"/>
      </w:tblPr>
      <w:tblGrid>
        <w:gridCol w:w="3978"/>
        <w:gridCol w:w="1341"/>
        <w:gridCol w:w="4239"/>
      </w:tblGrid>
      <w:tr>
        <w:trPr/>
        <w:tc>
          <w:tcPr>
            <w:tcW w:w="3978" w:type="dxa"/>
            <w:tcBorders>
              <w:bottom w:val="nil"/>
              <w:right w:val="nil"/>
            </w:tcBorders>
            <w:shd w:fill="auto" w:val="clear"/>
          </w:tcPr>
          <w:p>
            <w:pPr>
              <w:pStyle w:val="Normal"/>
              <w:widowControl w:val="false"/>
              <w:spacing w:lineRule="auto" w:line="240" w:before="0" w:after="0"/>
              <w:jc w:val="center"/>
              <w:rPr>
                <w:b/>
                <w:b/>
              </w:rPr>
            </w:pPr>
            <w:r>
              <w:rPr>
                <w:b/>
                <w:sz w:val="28"/>
              </w:rPr>
              <w:t>Client  10.0.0.1</w:t>
            </w:r>
          </w:p>
        </w:tc>
        <w:tc>
          <w:tcPr>
            <w:tcW w:w="1341" w:type="dxa"/>
            <w:tcBorders>
              <w:left w:val="nil"/>
              <w:bottom w:val="nil"/>
              <w:right w:val="nil"/>
            </w:tcBorders>
            <w:shd w:fill="auto" w:val="clear"/>
            <w:tcMar>
              <w:left w:w="113" w:type="dxa"/>
            </w:tcMar>
          </w:tcPr>
          <w:p>
            <w:pPr>
              <w:pStyle w:val="Normal"/>
              <w:widowControl w:val="false"/>
              <w:spacing w:lineRule="auto" w:line="240" w:before="0" w:after="0"/>
              <w:jc w:val="left"/>
              <w:rPr>
                <w:sz w:val="20"/>
              </w:rPr>
            </w:pPr>
            <w:r>
              <w:rPr>
                <w:sz w:val="20"/>
              </w:rPr>
            </w:r>
          </w:p>
        </w:tc>
        <w:tc>
          <w:tcPr>
            <w:tcW w:w="4239" w:type="dxa"/>
            <w:tcBorders>
              <w:left w:val="nil"/>
              <w:bottom w:val="nil"/>
            </w:tcBorders>
            <w:shd w:fill="auto" w:val="clear"/>
            <w:tcMar>
              <w:left w:w="113" w:type="dxa"/>
            </w:tcMar>
          </w:tcPr>
          <w:p>
            <w:pPr>
              <w:pStyle w:val="Normal"/>
              <w:widowControl w:val="false"/>
              <w:spacing w:lineRule="auto" w:line="240" w:before="0" w:after="0"/>
              <w:jc w:val="center"/>
              <w:rPr>
                <w:b/>
                <w:b/>
              </w:rPr>
            </w:pPr>
            <w:r>
              <w:rPr>
                <w:b/>
                <w:sz w:val="28"/>
              </w:rPr>
              <w:t>Server  10.0.0.2</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mc:AlternateContent>
                <mc:Choice Requires="wps">
                  <w:drawing>
                    <wp:anchor behindDoc="0" distT="0" distB="0" distL="0" distR="0" simplePos="0" locked="0" layoutInCell="1" allowOverlap="1" relativeHeight="35">
                      <wp:simplePos x="0" y="0"/>
                      <wp:positionH relativeFrom="column">
                        <wp:posOffset>1816735</wp:posOffset>
                      </wp:positionH>
                      <wp:positionV relativeFrom="paragraph">
                        <wp:posOffset>62230</wp:posOffset>
                      </wp:positionV>
                      <wp:extent cx="1266190" cy="292100"/>
                      <wp:effectExtent l="0" t="0" r="0" b="0"/>
                      <wp:wrapNone/>
                      <wp:docPr id="35" name="Frame2"/>
                      <a:graphic xmlns:a="http://schemas.openxmlformats.org/drawingml/2006/main">
                        <a:graphicData uri="http://schemas.microsoft.com/office/word/2010/wordprocessingShape">
                          <wps:wsp>
                            <wps:cNvSpPr/>
                            <wps:spPr>
                              <a:xfrm>
                                <a:off x="0" y="0"/>
                                <a:ext cx="1265400" cy="291600"/>
                              </a:xfrm>
                              <a:prstGeom prst="rect">
                                <a:avLst/>
                              </a:prstGeom>
                              <a:noFill/>
                              <a:ln w="0">
                                <a:noFill/>
                              </a:ln>
                            </wps:spPr>
                            <wps:style>
                              <a:lnRef idx="0"/>
                              <a:fillRef idx="0"/>
                              <a:effectRef idx="0"/>
                              <a:fontRef idx="minor"/>
                            </wps:style>
                            <wps:txbx>
                              <w:txbxContent>
                                <w:p>
                                  <w:pPr>
                                    <w:pStyle w:val="FrameContents"/>
                                    <w:widowControl w:val="false"/>
                                    <w:spacing w:before="0" w:after="200"/>
                                    <w:rPr/>
                                  </w:pPr>
                                  <w:r>
                                    <w:rPr>
                                      <w:rFonts w:cs="Courier New" w:ascii="Courier New" w:hAnsi="Courier New"/>
                                      <w:color w:val="4F81BD" w:themeColor="accent1"/>
                                      <w:sz w:val="18"/>
                                      <w:szCs w:val="18"/>
                                    </w:rPr>
                                    <w:t>Initialization</w:t>
                                  </w:r>
                                </w:p>
                              </w:txbxContent>
                            </wps:txbx>
                            <wps:bodyPr anchor="t">
                              <a:noAutofit/>
                            </wps:bodyPr>
                          </wps:wsp>
                        </a:graphicData>
                      </a:graphic>
                    </wp:anchor>
                  </w:drawing>
                </mc:Choice>
                <mc:Fallback>
                  <w:pict>
                    <v:rect id="shape_0" ID="Frame2" path="m0,0l-2147483645,0l-2147483645,-2147483646l0,-2147483646xe" stroked="f" o:allowincell="t" style="position:absolute;margin-left:143.05pt;margin-top:4.9pt;width:99.6pt;height:22.9pt;mso-wrap-style:square;v-text-anchor:top">
                      <v:fill o:detectmouseclick="t" on="false"/>
                      <v:stroke color="#3465a4" joinstyle="round" endcap="flat"/>
                      <v:textbox>
                        <w:txbxContent>
                          <w:p>
                            <w:pPr>
                              <w:pStyle w:val="FrameContents"/>
                              <w:widowControl w:val="false"/>
                              <w:spacing w:before="0" w:after="200"/>
                              <w:rPr/>
                            </w:pPr>
                            <w:r>
                              <w:rPr>
                                <w:rFonts w:cs="Courier New" w:ascii="Courier New" w:hAnsi="Courier New"/>
                                <w:color w:val="4F81BD" w:themeColor="accent1"/>
                                <w:sz w:val="18"/>
                                <w:szCs w:val="18"/>
                              </w:rPr>
                              <w:t>Initialization</w:t>
                            </w:r>
                          </w:p>
                        </w:txbxContent>
                      </v:textbox>
                      <w10:wrap type="none"/>
                    </v:rect>
                  </w:pict>
                </mc:Fallback>
              </mc:AlternateContent>
            </w:r>
            <w:r>
              <w:rPr>
                <w:rFonts w:cs="Courier New" w:ascii="Courier New" w:hAnsi="Courier New"/>
                <w:sz w:val="18"/>
                <w:szCs w:val="18"/>
              </w:rPr>
              <w:t>Socket_t  client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Socket_t  server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Socket_t  client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Socket_init (&amp;client)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Socket_init (&amp;server)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Socket_init (&amp;client)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1" distT="0" distB="0" distL="0" distR="0" simplePos="0" locked="0" layoutInCell="1" allowOverlap="1" relativeHeight="3">
                      <wp:simplePos x="0" y="0"/>
                      <wp:positionH relativeFrom="column">
                        <wp:posOffset>1419225</wp:posOffset>
                      </wp:positionH>
                      <wp:positionV relativeFrom="paragraph">
                        <wp:posOffset>213995</wp:posOffset>
                      </wp:positionV>
                      <wp:extent cx="1894840" cy="5080"/>
                      <wp:effectExtent l="0" t="0" r="0" b="0"/>
                      <wp:wrapNone/>
                      <wp:docPr id="37" name="Straight Connector 23"/>
                      <a:graphic xmlns:a="http://schemas.openxmlformats.org/drawingml/2006/main">
                        <a:graphicData uri="http://schemas.microsoft.com/office/word/2010/wordprocessingShape">
                          <wps:wsp>
                            <wps:cNvSpPr/>
                            <wps:spPr>
                              <a:xfrm>
                                <a:off x="0" y="0"/>
                                <a:ext cx="1894320" cy="4320"/>
                              </a:xfrm>
                              <a:prstGeom prst="line">
                                <a:avLst/>
                              </a:prstGeom>
                              <a:ln w="0">
                                <a:solidFill>
                                  <a:srgbClr val="4579b8"/>
                                </a:solidFill>
                              </a:ln>
                            </wps:spPr>
                            <wps:style>
                              <a:lnRef idx="0"/>
                              <a:fillRef idx="0"/>
                              <a:effectRef idx="0"/>
                              <a:fontRef idx="minor"/>
                            </wps:style>
                            <wps:bodyPr/>
                          </wps:wsp>
                        </a:graphicData>
                      </a:graphic>
                    </wp:anchor>
                  </w:drawing>
                </mc:Choice>
                <mc:Fallback>
                  <w:pict>
                    <v:line id="shape_0" from="111.75pt,16.85pt" to="260.85pt,17.15pt" ID="Straight Connector 23" stroked="t" o:allowincell="t" style="position:absolute">
                      <v:stroke color="#4579b8" joinstyle="round" endcap="flat"/>
                      <v:fill o:detectmouseclick="t" on="false"/>
                      <w10:wrap type="none"/>
                    </v:line>
                  </w:pict>
                </mc:Fallback>
              </mc:AlternateConten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open_client_socket (&amp;client)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open_server_socket (&amp;server, 10024)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0" distT="0" distB="0" distL="0" distR="0" simplePos="0" locked="0" layoutInCell="1" allowOverlap="1" relativeHeight="37">
                      <wp:simplePos x="0" y="0"/>
                      <wp:positionH relativeFrom="column">
                        <wp:posOffset>2066290</wp:posOffset>
                      </wp:positionH>
                      <wp:positionV relativeFrom="paragraph">
                        <wp:posOffset>48260</wp:posOffset>
                      </wp:positionV>
                      <wp:extent cx="1325245" cy="458470"/>
                      <wp:effectExtent l="0" t="0" r="0" b="0"/>
                      <wp:wrapNone/>
                      <wp:docPr id="38" name="Frame3"/>
                      <a:graphic xmlns:a="http://schemas.openxmlformats.org/drawingml/2006/main">
                        <a:graphicData uri="http://schemas.microsoft.com/office/word/2010/wordprocessingShape">
                          <wps:wsp>
                            <wps:cNvSpPr/>
                            <wps:spPr>
                              <a:xfrm>
                                <a:off x="0" y="0"/>
                                <a:ext cx="1324440" cy="457920"/>
                              </a:xfrm>
                              <a:prstGeom prst="rect">
                                <a:avLst/>
                              </a:prstGeom>
                              <a:noFill/>
                              <a:ln w="0">
                                <a:noFill/>
                              </a:ln>
                            </wps:spPr>
                            <wps:style>
                              <a:lnRef idx="0"/>
                              <a:fillRef idx="0"/>
                              <a:effectRef idx="0"/>
                              <a:fontRef idx="minor"/>
                            </wps:style>
                            <wps:txbx>
                              <w:txbxContent>
                                <w:p>
                                  <w:pPr>
                                    <w:pStyle w:val="FrameContents"/>
                                    <w:widowControl w:val="false"/>
                                    <w:spacing w:before="0" w:after="200"/>
                                    <w:jc w:val="center"/>
                                    <w:rPr/>
                                  </w:pPr>
                                  <w:r>
                                    <w:rPr>
                                      <w:rFonts w:cs="Courier New" w:ascii="Courier New" w:hAnsi="Courier New"/>
                                      <w:color w:val="4F81BD" w:themeColor="accent1"/>
                                      <w:sz w:val="18"/>
                                      <w:szCs w:val="18"/>
                                    </w:rPr>
                                    <w:t>Open &amp; Connect</w:t>
                                  </w:r>
                                </w:p>
                              </w:txbxContent>
                            </wps:txbx>
                            <wps:bodyPr anchor="t">
                              <a:noAutofit/>
                            </wps:bodyPr>
                          </wps:wsp>
                        </a:graphicData>
                      </a:graphic>
                    </wp:anchor>
                  </w:drawing>
                </mc:Choice>
                <mc:Fallback>
                  <w:pict>
                    <v:rect id="shape_0" ID="Frame3" path="m0,0l-2147483645,0l-2147483645,-2147483646l0,-2147483646xe" stroked="f" o:allowincell="t" style="position:absolute;margin-left:162.7pt;margin-top:3.8pt;width:104.25pt;height:36pt;mso-wrap-style:square;v-text-anchor:top">
                      <v:fill o:detectmouseclick="t" on="false"/>
                      <v:stroke color="#3465a4" joinstyle="round" endcap="flat"/>
                      <v:textbox>
                        <w:txbxContent>
                          <w:p>
                            <w:pPr>
                              <w:pStyle w:val="FrameContents"/>
                              <w:widowControl w:val="false"/>
                              <w:spacing w:before="0" w:after="200"/>
                              <w:jc w:val="center"/>
                              <w:rPr/>
                            </w:pPr>
                            <w:r>
                              <w:rPr>
                                <w:rFonts w:cs="Courier New" w:ascii="Courier New" w:hAnsi="Courier New"/>
                                <w:color w:val="4F81BD" w:themeColor="accent1"/>
                                <w:sz w:val="18"/>
                                <w:szCs w:val="18"/>
                              </w:rPr>
                              <w:t>Open &amp; Connect</w:t>
                            </w:r>
                          </w:p>
                        </w:txbxContent>
                      </v:textbox>
                      <w10:wrap type="none"/>
                    </v:rect>
                  </w:pict>
                </mc:Fallback>
              </mc:AlternateConten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connect_client_to_server</w:t>
            </w:r>
          </w:p>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(&amp;client, “10.0.0.2”, 10024)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wait_for_client</w:t>
            </w:r>
          </w:p>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(&amp;server, &amp;client)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1" distT="0" distB="0" distL="0" distR="0" simplePos="0" locked="0" layoutInCell="1" allowOverlap="1" relativeHeight="4">
                      <wp:simplePos x="0" y="0"/>
                      <wp:positionH relativeFrom="column">
                        <wp:posOffset>1410335</wp:posOffset>
                      </wp:positionH>
                      <wp:positionV relativeFrom="paragraph">
                        <wp:posOffset>122555</wp:posOffset>
                      </wp:positionV>
                      <wp:extent cx="1894205" cy="5080"/>
                      <wp:effectExtent l="0" t="0" r="0" b="0"/>
                      <wp:wrapNone/>
                      <wp:docPr id="40" name="Straight Connector 26"/>
                      <a:graphic xmlns:a="http://schemas.openxmlformats.org/drawingml/2006/main">
                        <a:graphicData uri="http://schemas.microsoft.com/office/word/2010/wordprocessingShape">
                          <wps:wsp>
                            <wps:cNvSpPr/>
                            <wps:spPr>
                              <a:xfrm>
                                <a:off x="0" y="0"/>
                                <a:ext cx="1893600" cy="4320"/>
                              </a:xfrm>
                              <a:prstGeom prst="line">
                                <a:avLst/>
                              </a:prstGeom>
                              <a:ln w="0">
                                <a:solidFill>
                                  <a:srgbClr val="4579b8"/>
                                </a:solidFill>
                              </a:ln>
                            </wps:spPr>
                            <wps:style>
                              <a:lnRef idx="0"/>
                              <a:fillRef idx="0"/>
                              <a:effectRef idx="0"/>
                              <a:fontRef idx="minor"/>
                            </wps:style>
                            <wps:bodyPr/>
                          </wps:wsp>
                        </a:graphicData>
                      </a:graphic>
                    </wp:anchor>
                  </w:drawing>
                </mc:Choice>
                <mc:Fallback>
                  <w:pict>
                    <v:line id="shape_0" from="111.05pt,9.65pt" to="260.1pt,9.95pt" ID="Straight Connector 26" stroked="t" o:allowincell="t" style="position:absolute">
                      <v:stroke color="#4579b8" joinstyle="round" endcap="flat"/>
                      <v:fill o:detectmouseclick="t" on="false"/>
                      <w10:wrap type="none"/>
                    </v:line>
                  </w:pict>
                </mc:Fallback>
              </mc:AlternateConten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mc:AlternateContent>
                <mc:Choice Requires="wps">
                  <w:drawing>
                    <wp:anchor behindDoc="1" distT="12700" distB="12700" distL="12700" distR="12700" simplePos="0" locked="0" layoutInCell="1" allowOverlap="1" relativeHeight="2">
                      <wp:simplePos x="0" y="0"/>
                      <wp:positionH relativeFrom="column">
                        <wp:posOffset>2327275</wp:posOffset>
                      </wp:positionH>
                      <wp:positionV relativeFrom="paragraph">
                        <wp:posOffset>60960</wp:posOffset>
                      </wp:positionV>
                      <wp:extent cx="862330" cy="1229995"/>
                      <wp:effectExtent l="0" t="0" r="0" b="0"/>
                      <wp:wrapNone/>
                      <wp:docPr id="41" name="Curved Left Arrow 20"/>
                      <a:graphic xmlns:a="http://schemas.openxmlformats.org/drawingml/2006/main">
                        <a:graphicData uri="http://schemas.microsoft.com/office/word/2010/wordprocessingShape">
                          <wps:wsp>
                            <wps:cNvSpPr/>
                            <wps:spPr>
                              <a:xfrm>
                                <a:off x="0" y="0"/>
                                <a:ext cx="861840" cy="1229400"/>
                              </a:xfrm>
                              <a:custGeom>
                                <a:avLst/>
                                <a:gdLst/>
                                <a:ahLst/>
                                <a:rect l="l" t="t" r="r" b="b"/>
                                <a:pathLst>
                                  <a:path w="1329" h="1869">
                                    <a:moveTo>
                                      <a:pt x="0" y="0"/>
                                    </a:moveTo>
                                    <a:lnTo>
                                      <a:pt x="70" y="1"/>
                                    </a:lnTo>
                                    <a:lnTo>
                                      <a:pt x="139" y="4"/>
                                    </a:lnTo>
                                    <a:lnTo>
                                      <a:pt x="208" y="8"/>
                                    </a:lnTo>
                                    <a:lnTo>
                                      <a:pt x="276" y="15"/>
                                    </a:lnTo>
                                    <a:lnTo>
                                      <a:pt x="344" y="23"/>
                                    </a:lnTo>
                                    <a:lnTo>
                                      <a:pt x="410" y="33"/>
                                    </a:lnTo>
                                    <a:lnTo>
                                      <a:pt x="476" y="44"/>
                                    </a:lnTo>
                                    <a:lnTo>
                                      <a:pt x="540" y="58"/>
                                    </a:lnTo>
                                    <a:lnTo>
                                      <a:pt x="603" y="73"/>
                                    </a:lnTo>
                                    <a:lnTo>
                                      <a:pt x="664" y="89"/>
                                    </a:lnTo>
                                    <a:lnTo>
                                      <a:pt x="723" y="108"/>
                                    </a:lnTo>
                                    <a:lnTo>
                                      <a:pt x="781" y="127"/>
                                    </a:lnTo>
                                    <a:lnTo>
                                      <a:pt x="836" y="149"/>
                                    </a:lnTo>
                                    <a:lnTo>
                                      <a:pt x="889" y="171"/>
                                    </a:lnTo>
                                    <a:lnTo>
                                      <a:pt x="939" y="195"/>
                                    </a:lnTo>
                                    <a:lnTo>
                                      <a:pt x="987" y="221"/>
                                    </a:lnTo>
                                    <a:lnTo>
                                      <a:pt x="1032" y="247"/>
                                    </a:lnTo>
                                    <a:lnTo>
                                      <a:pt x="1074" y="275"/>
                                    </a:lnTo>
                                    <a:lnTo>
                                      <a:pt x="1114" y="304"/>
                                    </a:lnTo>
                                    <a:lnTo>
                                      <a:pt x="1150" y="334"/>
                                    </a:lnTo>
                                    <a:lnTo>
                                      <a:pt x="1183" y="364"/>
                                    </a:lnTo>
                                    <a:lnTo>
                                      <a:pt x="1213" y="396"/>
                                    </a:lnTo>
                                    <a:lnTo>
                                      <a:pt x="1240" y="428"/>
                                    </a:lnTo>
                                    <a:lnTo>
                                      <a:pt x="1263" y="461"/>
                                    </a:lnTo>
                                    <a:lnTo>
                                      <a:pt x="1283" y="494"/>
                                    </a:lnTo>
                                    <a:lnTo>
                                      <a:pt x="1299" y="528"/>
                                    </a:lnTo>
                                    <a:lnTo>
                                      <a:pt x="1312" y="563"/>
                                    </a:lnTo>
                                    <a:lnTo>
                                      <a:pt x="1321" y="597"/>
                                    </a:lnTo>
                                    <a:lnTo>
                                      <a:pt x="1326" y="632"/>
                                    </a:lnTo>
                                    <a:lnTo>
                                      <a:pt x="1328" y="667"/>
                                    </a:lnTo>
                                    <a:lnTo>
                                      <a:pt x="1328" y="1048"/>
                                    </a:lnTo>
                                    <a:lnTo>
                                      <a:pt x="1326" y="1082"/>
                                    </a:lnTo>
                                    <a:lnTo>
                                      <a:pt x="1321" y="1116"/>
                                    </a:lnTo>
                                    <a:lnTo>
                                      <a:pt x="1312" y="1150"/>
                                    </a:lnTo>
                                    <a:lnTo>
                                      <a:pt x="1300" y="1184"/>
                                    </a:lnTo>
                                    <a:lnTo>
                                      <a:pt x="1284" y="1217"/>
                                    </a:lnTo>
                                    <a:lnTo>
                                      <a:pt x="1266" y="1250"/>
                                    </a:lnTo>
                                    <a:lnTo>
                                      <a:pt x="1243" y="1283"/>
                                    </a:lnTo>
                                    <a:lnTo>
                                      <a:pt x="1218" y="1314"/>
                                    </a:lnTo>
                                    <a:lnTo>
                                      <a:pt x="1189" y="1345"/>
                                    </a:lnTo>
                                    <a:lnTo>
                                      <a:pt x="1157" y="1376"/>
                                    </a:lnTo>
                                    <a:lnTo>
                                      <a:pt x="1122" y="1405"/>
                                    </a:lnTo>
                                    <a:lnTo>
                                      <a:pt x="1084" y="1433"/>
                                    </a:lnTo>
                                    <a:lnTo>
                                      <a:pt x="1043" y="1461"/>
                                    </a:lnTo>
                                    <a:lnTo>
                                      <a:pt x="1000" y="1487"/>
                                    </a:lnTo>
                                    <a:lnTo>
                                      <a:pt x="953" y="1512"/>
                                    </a:lnTo>
                                    <a:lnTo>
                                      <a:pt x="905" y="1536"/>
                                    </a:lnTo>
                                    <a:lnTo>
                                      <a:pt x="854" y="1559"/>
                                    </a:lnTo>
                                    <a:lnTo>
                                      <a:pt x="800" y="1580"/>
                                    </a:lnTo>
                                    <a:lnTo>
                                      <a:pt x="745" y="1600"/>
                                    </a:lnTo>
                                    <a:lnTo>
                                      <a:pt x="687" y="1619"/>
                                    </a:lnTo>
                                    <a:lnTo>
                                      <a:pt x="628" y="1636"/>
                                    </a:lnTo>
                                    <a:lnTo>
                                      <a:pt x="567" y="1651"/>
                                    </a:lnTo>
                                    <a:lnTo>
                                      <a:pt x="505" y="1665"/>
                                    </a:lnTo>
                                    <a:lnTo>
                                      <a:pt x="441" y="1677"/>
                                    </a:lnTo>
                                    <a:lnTo>
                                      <a:pt x="442" y="1868"/>
                                    </a:lnTo>
                                    <a:lnTo>
                                      <a:pt x="0" y="1525"/>
                                    </a:lnTo>
                                    <a:lnTo>
                                      <a:pt x="442" y="1106"/>
                                    </a:lnTo>
                                    <a:lnTo>
                                      <a:pt x="442" y="1296"/>
                                    </a:lnTo>
                                    <a:lnTo>
                                      <a:pt x="507" y="1284"/>
                                    </a:lnTo>
                                    <a:lnTo>
                                      <a:pt x="570" y="1269"/>
                                    </a:lnTo>
                                    <a:lnTo>
                                      <a:pt x="632" y="1254"/>
                                    </a:lnTo>
                                    <a:lnTo>
                                      <a:pt x="692" y="1236"/>
                                    </a:lnTo>
                                    <a:lnTo>
                                      <a:pt x="751" y="1217"/>
                                    </a:lnTo>
                                    <a:lnTo>
                                      <a:pt x="807" y="1197"/>
                                    </a:lnTo>
                                    <a:lnTo>
                                      <a:pt x="861" y="1175"/>
                                    </a:lnTo>
                                    <a:lnTo>
                                      <a:pt x="912" y="1152"/>
                                    </a:lnTo>
                                    <a:lnTo>
                                      <a:pt x="962" y="1127"/>
                                    </a:lnTo>
                                    <a:lnTo>
                                      <a:pt x="1008" y="1101"/>
                                    </a:lnTo>
                                    <a:lnTo>
                                      <a:pt x="1052" y="1074"/>
                                    </a:lnTo>
                                    <a:lnTo>
                                      <a:pt x="1093" y="1046"/>
                                    </a:lnTo>
                                    <a:lnTo>
                                      <a:pt x="1131" y="1017"/>
                                    </a:lnTo>
                                    <a:lnTo>
                                      <a:pt x="1166" y="987"/>
                                    </a:lnTo>
                                    <a:lnTo>
                                      <a:pt x="1197" y="956"/>
                                    </a:lnTo>
                                    <a:lnTo>
                                      <a:pt x="1226" y="924"/>
                                    </a:lnTo>
                                    <a:lnTo>
                                      <a:pt x="1251" y="891"/>
                                    </a:lnTo>
                                    <a:lnTo>
                                      <a:pt x="1272" y="858"/>
                                    </a:lnTo>
                                    <a:lnTo>
                                      <a:pt x="1273" y="858"/>
                                    </a:lnTo>
                                    <a:lnTo>
                                      <a:pt x="1252" y="825"/>
                                    </a:lnTo>
                                    <a:lnTo>
                                      <a:pt x="1227" y="793"/>
                                    </a:lnTo>
                                    <a:lnTo>
                                      <a:pt x="1200" y="762"/>
                                    </a:lnTo>
                                    <a:lnTo>
                                      <a:pt x="1169" y="732"/>
                                    </a:lnTo>
                                    <a:lnTo>
                                      <a:pt x="1135" y="702"/>
                                    </a:lnTo>
                                    <a:lnTo>
                                      <a:pt x="1099" y="673"/>
                                    </a:lnTo>
                                    <a:lnTo>
                                      <a:pt x="1059" y="645"/>
                                    </a:lnTo>
                                    <a:lnTo>
                                      <a:pt x="1016" y="619"/>
                                    </a:lnTo>
                                    <a:lnTo>
                                      <a:pt x="971" y="593"/>
                                    </a:lnTo>
                                    <a:lnTo>
                                      <a:pt x="924" y="569"/>
                                    </a:lnTo>
                                    <a:lnTo>
                                      <a:pt x="873" y="546"/>
                                    </a:lnTo>
                                    <a:lnTo>
                                      <a:pt x="821" y="524"/>
                                    </a:lnTo>
                                    <a:lnTo>
                                      <a:pt x="766" y="503"/>
                                    </a:lnTo>
                                    <a:lnTo>
                                      <a:pt x="710" y="484"/>
                                    </a:lnTo>
                                    <a:lnTo>
                                      <a:pt x="651" y="467"/>
                                    </a:lnTo>
                                    <a:lnTo>
                                      <a:pt x="591" y="451"/>
                                    </a:lnTo>
                                    <a:lnTo>
                                      <a:pt x="530" y="436"/>
                                    </a:lnTo>
                                    <a:lnTo>
                                      <a:pt x="466" y="423"/>
                                    </a:lnTo>
                                    <a:lnTo>
                                      <a:pt x="402" y="412"/>
                                    </a:lnTo>
                                    <a:lnTo>
                                      <a:pt x="337" y="403"/>
                                    </a:lnTo>
                                    <a:lnTo>
                                      <a:pt x="270" y="395"/>
                                    </a:lnTo>
                                    <a:lnTo>
                                      <a:pt x="203" y="389"/>
                                    </a:lnTo>
                                    <a:lnTo>
                                      <a:pt x="136" y="385"/>
                                    </a:lnTo>
                                    <a:lnTo>
                                      <a:pt x="68" y="382"/>
                                    </a:lnTo>
                                    <a:lnTo>
                                      <a:pt x="0" y="381"/>
                                    </a:lnTo>
                                    <a:lnTo>
                                      <a:pt x="0" y="0"/>
                                    </a:lnTo>
                                    <a:moveTo>
                                      <a:pt x="0" y="0"/>
                                    </a:moveTo>
                                    <a:lnTo>
                                      <a:pt x="70" y="1"/>
                                    </a:lnTo>
                                    <a:lnTo>
                                      <a:pt x="139" y="4"/>
                                    </a:lnTo>
                                    <a:lnTo>
                                      <a:pt x="208" y="8"/>
                                    </a:lnTo>
                                    <a:lnTo>
                                      <a:pt x="276" y="15"/>
                                    </a:lnTo>
                                    <a:lnTo>
                                      <a:pt x="344" y="23"/>
                                    </a:lnTo>
                                    <a:lnTo>
                                      <a:pt x="410" y="33"/>
                                    </a:lnTo>
                                    <a:lnTo>
                                      <a:pt x="476" y="44"/>
                                    </a:lnTo>
                                    <a:lnTo>
                                      <a:pt x="540" y="58"/>
                                    </a:lnTo>
                                    <a:lnTo>
                                      <a:pt x="603" y="73"/>
                                    </a:lnTo>
                                    <a:lnTo>
                                      <a:pt x="664" y="89"/>
                                    </a:lnTo>
                                    <a:lnTo>
                                      <a:pt x="723" y="108"/>
                                    </a:lnTo>
                                    <a:lnTo>
                                      <a:pt x="781" y="127"/>
                                    </a:lnTo>
                                    <a:lnTo>
                                      <a:pt x="836" y="149"/>
                                    </a:lnTo>
                                    <a:lnTo>
                                      <a:pt x="889" y="171"/>
                                    </a:lnTo>
                                    <a:lnTo>
                                      <a:pt x="939" y="195"/>
                                    </a:lnTo>
                                    <a:lnTo>
                                      <a:pt x="987" y="221"/>
                                    </a:lnTo>
                                    <a:lnTo>
                                      <a:pt x="1032" y="247"/>
                                    </a:lnTo>
                                    <a:lnTo>
                                      <a:pt x="1074" y="275"/>
                                    </a:lnTo>
                                    <a:lnTo>
                                      <a:pt x="1114" y="304"/>
                                    </a:lnTo>
                                    <a:lnTo>
                                      <a:pt x="1150" y="334"/>
                                    </a:lnTo>
                                    <a:lnTo>
                                      <a:pt x="1183" y="364"/>
                                    </a:lnTo>
                                    <a:lnTo>
                                      <a:pt x="1213" y="396"/>
                                    </a:lnTo>
                                    <a:lnTo>
                                      <a:pt x="1240" y="428"/>
                                    </a:lnTo>
                                    <a:lnTo>
                                      <a:pt x="1263" y="461"/>
                                    </a:lnTo>
                                    <a:lnTo>
                                      <a:pt x="1283" y="494"/>
                                    </a:lnTo>
                                    <a:lnTo>
                                      <a:pt x="1299" y="528"/>
                                    </a:lnTo>
                                    <a:lnTo>
                                      <a:pt x="1312" y="563"/>
                                    </a:lnTo>
                                    <a:lnTo>
                                      <a:pt x="1321" y="597"/>
                                    </a:lnTo>
                                    <a:lnTo>
                                      <a:pt x="1326" y="632"/>
                                    </a:lnTo>
                                    <a:lnTo>
                                      <a:pt x="1328" y="667"/>
                                    </a:lnTo>
                                    <a:lnTo>
                                      <a:pt x="1328" y="1048"/>
                                    </a:lnTo>
                                    <a:lnTo>
                                      <a:pt x="1328" y="1035"/>
                                    </a:lnTo>
                                    <a:lnTo>
                                      <a:pt x="1327" y="1022"/>
                                    </a:lnTo>
                                    <a:lnTo>
                                      <a:pt x="1326" y="1009"/>
                                    </a:lnTo>
                                    <a:lnTo>
                                      <a:pt x="1324" y="997"/>
                                    </a:lnTo>
                                    <a:lnTo>
                                      <a:pt x="1322" y="984"/>
                                    </a:lnTo>
                                    <a:lnTo>
                                      <a:pt x="1319" y="971"/>
                                    </a:lnTo>
                                    <a:lnTo>
                                      <a:pt x="1316" y="958"/>
                                    </a:lnTo>
                                    <a:lnTo>
                                      <a:pt x="1312" y="946"/>
                                    </a:lnTo>
                                    <a:lnTo>
                                      <a:pt x="1308" y="933"/>
                                    </a:lnTo>
                                    <a:lnTo>
                                      <a:pt x="1303" y="920"/>
                                    </a:lnTo>
                                    <a:lnTo>
                                      <a:pt x="1298" y="908"/>
                                    </a:lnTo>
                                    <a:lnTo>
                                      <a:pt x="1293" y="895"/>
                                    </a:lnTo>
                                    <a:lnTo>
                                      <a:pt x="1287" y="883"/>
                                    </a:lnTo>
                                    <a:lnTo>
                                      <a:pt x="1280" y="870"/>
                                    </a:lnTo>
                                    <a:lnTo>
                                      <a:pt x="1273" y="858"/>
                                    </a:lnTo>
                                    <a:lnTo>
                                      <a:pt x="1273" y="858"/>
                                    </a:lnTo>
                                    <a:lnTo>
                                      <a:pt x="1252" y="825"/>
                                    </a:lnTo>
                                    <a:lnTo>
                                      <a:pt x="1227" y="793"/>
                                    </a:lnTo>
                                    <a:lnTo>
                                      <a:pt x="1200" y="762"/>
                                    </a:lnTo>
                                    <a:lnTo>
                                      <a:pt x="1169" y="732"/>
                                    </a:lnTo>
                                    <a:lnTo>
                                      <a:pt x="1135" y="702"/>
                                    </a:lnTo>
                                    <a:lnTo>
                                      <a:pt x="1099" y="673"/>
                                    </a:lnTo>
                                    <a:lnTo>
                                      <a:pt x="1059" y="645"/>
                                    </a:lnTo>
                                    <a:lnTo>
                                      <a:pt x="1016" y="619"/>
                                    </a:lnTo>
                                    <a:lnTo>
                                      <a:pt x="971" y="593"/>
                                    </a:lnTo>
                                    <a:lnTo>
                                      <a:pt x="924" y="569"/>
                                    </a:lnTo>
                                    <a:lnTo>
                                      <a:pt x="873" y="546"/>
                                    </a:lnTo>
                                    <a:lnTo>
                                      <a:pt x="821" y="524"/>
                                    </a:lnTo>
                                    <a:lnTo>
                                      <a:pt x="766" y="503"/>
                                    </a:lnTo>
                                    <a:lnTo>
                                      <a:pt x="710" y="484"/>
                                    </a:lnTo>
                                    <a:lnTo>
                                      <a:pt x="651" y="467"/>
                                    </a:lnTo>
                                    <a:lnTo>
                                      <a:pt x="591" y="451"/>
                                    </a:lnTo>
                                    <a:lnTo>
                                      <a:pt x="530" y="436"/>
                                    </a:lnTo>
                                    <a:lnTo>
                                      <a:pt x="466" y="423"/>
                                    </a:lnTo>
                                    <a:lnTo>
                                      <a:pt x="402" y="412"/>
                                    </a:lnTo>
                                    <a:lnTo>
                                      <a:pt x="337" y="403"/>
                                    </a:lnTo>
                                    <a:lnTo>
                                      <a:pt x="270" y="395"/>
                                    </a:lnTo>
                                    <a:lnTo>
                                      <a:pt x="203" y="389"/>
                                    </a:lnTo>
                                    <a:lnTo>
                                      <a:pt x="136" y="385"/>
                                    </a:lnTo>
                                    <a:lnTo>
                                      <a:pt x="68" y="382"/>
                                    </a:lnTo>
                                    <a:lnTo>
                                      <a:pt x="0" y="381"/>
                                    </a:lnTo>
                                    <a:lnTo>
                                      <a:pt x="0" y="0"/>
                                    </a:lnTo>
                                  </a:path>
                                </a:pathLst>
                              </a:custGeom>
                              <a:solidFill>
                                <a:srgbClr val="4f81bd"/>
                              </a:solidFill>
                              <a:ln w="25560">
                                <a:solidFill>
                                  <a:srgbClr val="243f60"/>
                                </a:solidFill>
                                <a:miter/>
                              </a:ln>
                            </wps:spPr>
                            <wps:style>
                              <a:lnRef idx="0"/>
                              <a:fillRef idx="0"/>
                              <a:effectRef idx="0"/>
                              <a:fontRef idx="minor"/>
                            </wps:style>
                            <wps:bodyPr/>
                          </wps:wsp>
                        </a:graphicData>
                      </a:graphic>
                    </wp:anchor>
                  </w:drawing>
                </mc:Choice>
                <mc:Fallback>
                  <w:pict/>
                </mc:Fallback>
              </mc:AlternateContent>
            </w:r>
            <w:r>
              <w:rPr>
                <w:rFonts w:cs="Courier New" w:ascii="Courier New" w:hAnsi="Courier New"/>
                <w:sz w:val="18"/>
                <w:szCs w:val="18"/>
              </w:rPr>
              <w:t>send_message_to_socket</w:t>
            </w:r>
          </w:p>
          <w:p>
            <w:pPr>
              <w:pStyle w:val="Normal"/>
              <w:widowControl w:val="false"/>
              <w:spacing w:lineRule="auto" w:line="240" w:before="0" w:after="0"/>
              <w:jc w:val="left"/>
              <w:rPr>
                <w:rFonts w:ascii="Courier New" w:hAnsi="Courier New" w:cs="Courier New"/>
                <w:sz w:val="18"/>
                <w:szCs w:val="18"/>
              </w:rPr>
            </w:pPr>
            <w:r>
              <mc:AlternateContent>
                <mc:Choice Requires="wps">
                  <w:drawing>
                    <wp:anchor behindDoc="0" distT="0" distB="0" distL="0" distR="0" simplePos="0" locked="0" layoutInCell="1" allowOverlap="1" relativeHeight="31">
                      <wp:simplePos x="0" y="0"/>
                      <wp:positionH relativeFrom="column">
                        <wp:posOffset>1981835</wp:posOffset>
                      </wp:positionH>
                      <wp:positionV relativeFrom="paragraph">
                        <wp:posOffset>107315</wp:posOffset>
                      </wp:positionV>
                      <wp:extent cx="897255" cy="292100"/>
                      <wp:effectExtent l="0" t="0" r="0" b="0"/>
                      <wp:wrapNone/>
                      <wp:docPr id="42" name="Frame4"/>
                      <a:graphic xmlns:a="http://schemas.openxmlformats.org/drawingml/2006/main">
                        <a:graphicData uri="http://schemas.microsoft.com/office/word/2010/wordprocessingShape">
                          <wps:wsp>
                            <wps:cNvSpPr/>
                            <wps:spPr>
                              <a:xfrm>
                                <a:off x="0" y="0"/>
                                <a:ext cx="896760" cy="291600"/>
                              </a:xfrm>
                              <a:prstGeom prst="rect">
                                <a:avLst/>
                              </a:prstGeom>
                              <a:noFill/>
                              <a:ln w="0">
                                <a:noFill/>
                              </a:ln>
                            </wps:spPr>
                            <wps:style>
                              <a:lnRef idx="0"/>
                              <a:fillRef idx="0"/>
                              <a:effectRef idx="0"/>
                              <a:fontRef idx="minor"/>
                            </wps:style>
                            <wps:txbx>
                              <w:txbxContent>
                                <w:p>
                                  <w:pPr>
                                    <w:pStyle w:val="FrameContents"/>
                                    <w:widowControl w:val="false"/>
                                    <w:spacing w:before="0" w:after="200"/>
                                    <w:jc w:val="center"/>
                                    <w:rPr/>
                                  </w:pPr>
                                  <w:r>
                                    <w:rPr>
                                      <w:rFonts w:cs="Courier New" w:ascii="Courier New" w:hAnsi="Courier New"/>
                                      <w:color w:val="4F81BD" w:themeColor="accent1"/>
                                      <w:sz w:val="18"/>
                                      <w:szCs w:val="18"/>
                                    </w:rPr>
                                    <w:t>REQUEST</w:t>
                                  </w:r>
                                </w:p>
                              </w:txbxContent>
                            </wps:txbx>
                            <wps:bodyPr anchor="t">
                              <a:noAutofit/>
                            </wps:bodyPr>
                          </wps:wsp>
                        </a:graphicData>
                      </a:graphic>
                    </wp:anchor>
                  </w:drawing>
                </mc:Choice>
                <mc:Fallback>
                  <w:pict>
                    <v:rect id="shape_0" ID="Frame4" path="m0,0l-2147483645,0l-2147483645,-2147483646l0,-2147483646xe" stroked="f" o:allowincell="t" style="position:absolute;margin-left:156.05pt;margin-top:8.45pt;width:70.55pt;height:22.9pt;mso-wrap-style:square;v-text-anchor:top">
                      <v:fill o:detectmouseclick="t" on="false"/>
                      <v:stroke color="#3465a4" joinstyle="round" endcap="flat"/>
                      <v:textbox>
                        <w:txbxContent>
                          <w:p>
                            <w:pPr>
                              <w:pStyle w:val="FrameContents"/>
                              <w:widowControl w:val="false"/>
                              <w:spacing w:before="0" w:after="200"/>
                              <w:jc w:val="center"/>
                              <w:rPr/>
                            </w:pPr>
                            <w:r>
                              <w:rPr>
                                <w:rFonts w:cs="Courier New" w:ascii="Courier New" w:hAnsi="Courier New"/>
                                <w:color w:val="4F81BD" w:themeColor="accent1"/>
                                <w:sz w:val="18"/>
                                <w:szCs w:val="18"/>
                              </w:rPr>
                              <w:t>REQUEST</w:t>
                            </w:r>
                          </w:p>
                        </w:txbxContent>
                      </v:textbox>
                      <w10:wrap type="none"/>
                    </v:rect>
                  </w:pict>
                </mc:Fallback>
              </mc:AlternateContent>
            </w:r>
            <w:r>
              <w:rPr>
                <w:rFonts w:cs="Courier New" w:ascii="Courier New" w:hAnsi="Courier New"/>
                <w:sz w:val="18"/>
                <w:szCs w:val="18"/>
              </w:rPr>
              <w:t xml:space="preserve">    </w:t>
            </w:r>
            <w:r>
              <w:rPr>
                <w:rFonts w:cs="Courier New" w:ascii="Courier New" w:hAnsi="Courier New"/>
                <w:sz w:val="18"/>
                <w:szCs w:val="18"/>
              </w:rPr>
              <w:t>(&amp;client, REQUEST)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0" distT="0" distB="0" distL="0" distR="0" simplePos="0" locked="0" layoutInCell="1" allowOverlap="1" relativeHeight="39">
                      <wp:simplePos x="0" y="0"/>
                      <wp:positionH relativeFrom="column">
                        <wp:posOffset>1115695</wp:posOffset>
                      </wp:positionH>
                      <wp:positionV relativeFrom="paragraph">
                        <wp:posOffset>246380</wp:posOffset>
                      </wp:positionV>
                      <wp:extent cx="1300480" cy="292100"/>
                      <wp:effectExtent l="0" t="0" r="0" b="0"/>
                      <wp:wrapNone/>
                      <wp:docPr id="44" name="Frame5"/>
                      <a:graphic xmlns:a="http://schemas.openxmlformats.org/drawingml/2006/main">
                        <a:graphicData uri="http://schemas.microsoft.com/office/word/2010/wordprocessingShape">
                          <wps:wsp>
                            <wps:cNvSpPr/>
                            <wps:spPr>
                              <a:xfrm>
                                <a:off x="0" y="0"/>
                                <a:ext cx="1299960" cy="291600"/>
                              </a:xfrm>
                              <a:prstGeom prst="rect">
                                <a:avLst/>
                              </a:prstGeom>
                              <a:noFill/>
                              <a:ln w="0">
                                <a:noFill/>
                              </a:ln>
                            </wps:spPr>
                            <wps:style>
                              <a:lnRef idx="0"/>
                              <a:fillRef idx="0"/>
                              <a:effectRef idx="0"/>
                              <a:fontRef idx="minor"/>
                            </wps:style>
                            <wps:txbx>
                              <w:txbxContent>
                                <w:p>
                                  <w:pPr>
                                    <w:pStyle w:val="FrameContents"/>
                                    <w:widowControl w:val="false"/>
                                    <w:spacing w:before="0" w:after="200"/>
                                    <w:jc w:val="center"/>
                                    <w:rPr/>
                                  </w:pPr>
                                  <w:r>
                                    <w:rPr>
                                      <w:rFonts w:cs="Courier New" w:ascii="Courier New" w:hAnsi="Courier New"/>
                                      <w:color w:val="4F81BD" w:themeColor="accent1"/>
                                      <w:sz w:val="18"/>
                                      <w:szCs w:val="18"/>
                                    </w:rPr>
                                    <w:t>Communication</w:t>
                                  </w:r>
                                </w:p>
                              </w:txbxContent>
                            </wps:txbx>
                            <wps:bodyPr anchor="t">
                              <a:noAutofit/>
                            </wps:bodyPr>
                          </wps:wsp>
                        </a:graphicData>
                      </a:graphic>
                    </wp:anchor>
                  </w:drawing>
                </mc:Choice>
                <mc:Fallback>
                  <w:pict>
                    <v:rect id="shape_0" ID="Frame5" path="m0,0l-2147483645,0l-2147483645,-2147483646l0,-2147483646xe" stroked="f" o:allowincell="t" style="position:absolute;margin-left:87.85pt;margin-top:19.4pt;width:102.3pt;height:22.9pt;mso-wrap-style:square;v-text-anchor:top">
                      <v:fill o:detectmouseclick="t" on="false"/>
                      <v:stroke color="#3465a4" joinstyle="round" endcap="flat"/>
                      <v:textbox>
                        <w:txbxContent>
                          <w:p>
                            <w:pPr>
                              <w:pStyle w:val="FrameContents"/>
                              <w:widowControl w:val="false"/>
                              <w:spacing w:before="0" w:after="200"/>
                              <w:jc w:val="center"/>
                              <w:rPr/>
                            </w:pPr>
                            <w:r>
                              <w:rPr>
                                <w:rFonts w:cs="Courier New" w:ascii="Courier New" w:hAnsi="Courier New"/>
                                <w:color w:val="4F81BD" w:themeColor="accent1"/>
                                <w:sz w:val="18"/>
                                <w:szCs w:val="18"/>
                              </w:rPr>
                              <w:t>Communication</w:t>
                            </w:r>
                          </w:p>
                        </w:txbxContent>
                      </v:textbox>
                      <w10:wrap type="none"/>
                    </v:rect>
                  </w:pict>
                </mc:Fallback>
              </mc:AlternateConten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receive_message_from_soacket</w:t>
            </w:r>
          </w:p>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(&amp;client, REQUEST)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send_message_to_socket</w:t>
            </w:r>
          </w:p>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(&amp;client, REPLY) ;</w:t>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0" distT="0" distB="0" distL="0" distR="0" simplePos="0" locked="0" layoutInCell="1" allowOverlap="1" relativeHeight="33">
                      <wp:simplePos x="0" y="0"/>
                      <wp:positionH relativeFrom="column">
                        <wp:posOffset>86360</wp:posOffset>
                      </wp:positionH>
                      <wp:positionV relativeFrom="paragraph">
                        <wp:posOffset>116205</wp:posOffset>
                      </wp:positionV>
                      <wp:extent cx="897255" cy="292100"/>
                      <wp:effectExtent l="0" t="0" r="0" b="0"/>
                      <wp:wrapNone/>
                      <wp:docPr id="46" name="Frame6"/>
                      <a:graphic xmlns:a="http://schemas.openxmlformats.org/drawingml/2006/main">
                        <a:graphicData uri="http://schemas.microsoft.com/office/word/2010/wordprocessingShape">
                          <wps:wsp>
                            <wps:cNvSpPr/>
                            <wps:spPr>
                              <a:xfrm>
                                <a:off x="0" y="0"/>
                                <a:ext cx="896760" cy="291600"/>
                              </a:xfrm>
                              <a:prstGeom prst="rect">
                                <a:avLst/>
                              </a:prstGeom>
                              <a:noFill/>
                              <a:ln w="0">
                                <a:noFill/>
                              </a:ln>
                            </wps:spPr>
                            <wps:style>
                              <a:lnRef idx="0"/>
                              <a:fillRef idx="0"/>
                              <a:effectRef idx="0"/>
                              <a:fontRef idx="minor"/>
                            </wps:style>
                            <wps:txbx>
                              <w:txbxContent>
                                <w:p>
                                  <w:pPr>
                                    <w:pStyle w:val="FrameContents"/>
                                    <w:widowControl w:val="false"/>
                                    <w:spacing w:before="0" w:after="200"/>
                                    <w:jc w:val="center"/>
                                    <w:rPr/>
                                  </w:pPr>
                                  <w:r>
                                    <w:rPr>
                                      <w:rFonts w:cs="Courier New" w:ascii="Courier New" w:hAnsi="Courier New"/>
                                      <w:color w:val="4F81BD" w:themeColor="accent1"/>
                                      <w:sz w:val="18"/>
                                      <w:szCs w:val="18"/>
                                    </w:rPr>
                                    <w:t>REPLY</w:t>
                                  </w:r>
                                </w:p>
                              </w:txbxContent>
                            </wps:txbx>
                            <wps:bodyPr anchor="t">
                              <a:noAutofit/>
                            </wps:bodyPr>
                          </wps:wsp>
                        </a:graphicData>
                      </a:graphic>
                    </wp:anchor>
                  </w:drawing>
                </mc:Choice>
                <mc:Fallback>
                  <w:pict>
                    <v:rect id="shape_0" ID="Frame6" path="m0,0l-2147483645,0l-2147483645,-2147483646l0,-2147483646xe" stroked="f" o:allowincell="t" style="position:absolute;margin-left:6.8pt;margin-top:9.15pt;width:70.55pt;height:22.9pt;mso-wrap-style:square;v-text-anchor:top">
                      <v:fill o:detectmouseclick="t" on="false"/>
                      <v:stroke color="#3465a4" joinstyle="round" endcap="flat"/>
                      <v:textbox>
                        <w:txbxContent>
                          <w:p>
                            <w:pPr>
                              <w:pStyle w:val="FrameContents"/>
                              <w:widowControl w:val="false"/>
                              <w:spacing w:before="0" w:after="200"/>
                              <w:jc w:val="center"/>
                              <w:rPr/>
                            </w:pPr>
                            <w:r>
                              <w:rPr>
                                <w:rFonts w:cs="Courier New" w:ascii="Courier New" w:hAnsi="Courier New"/>
                                <w:color w:val="4F81BD" w:themeColor="accent1"/>
                                <w:sz w:val="18"/>
                                <w:szCs w:val="18"/>
                              </w:rPr>
                              <w:t>REPLY</w:t>
                            </w:r>
                          </w:p>
                        </w:txbxContent>
                      </v:textbox>
                      <w10:wrap type="none"/>
                    </v:rect>
                  </w:pict>
                </mc:Fallback>
              </mc:AlternateContent>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receive_message_from_soacket</w:t>
            </w:r>
          </w:p>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 xml:space="preserve">    </w:t>
            </w:r>
            <w:r>
              <w:rPr>
                <w:rFonts w:cs="Courier New" w:ascii="Courier New" w:hAnsi="Courier New"/>
                <w:sz w:val="18"/>
                <w:szCs w:val="18"/>
              </w:rPr>
              <w:t>(&amp;client, REPLY)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mc:AlternateContent>
                <mc:Choice Requires="wps">
                  <w:drawing>
                    <wp:anchor behindDoc="1" distT="0" distB="0" distL="0" distR="0" simplePos="0" locked="0" layoutInCell="1" allowOverlap="1" relativeHeight="5">
                      <wp:simplePos x="0" y="0"/>
                      <wp:positionH relativeFrom="column">
                        <wp:posOffset>1417955</wp:posOffset>
                      </wp:positionH>
                      <wp:positionV relativeFrom="paragraph">
                        <wp:posOffset>146685</wp:posOffset>
                      </wp:positionV>
                      <wp:extent cx="1894205" cy="4445"/>
                      <wp:effectExtent l="0" t="0" r="0" b="0"/>
                      <wp:wrapNone/>
                      <wp:docPr id="48" name="Straight Connector 27"/>
                      <a:graphic xmlns:a="http://schemas.openxmlformats.org/drawingml/2006/main">
                        <a:graphicData uri="http://schemas.microsoft.com/office/word/2010/wordprocessingShape">
                          <wps:wsp>
                            <wps:cNvSpPr/>
                            <wps:spPr>
                              <a:xfrm>
                                <a:off x="0" y="0"/>
                                <a:ext cx="1893600" cy="3960"/>
                              </a:xfrm>
                              <a:prstGeom prst="line">
                                <a:avLst/>
                              </a:prstGeom>
                              <a:ln w="0">
                                <a:solidFill>
                                  <a:srgbClr val="4f81bd"/>
                                </a:solidFill>
                              </a:ln>
                            </wps:spPr>
                            <wps:style>
                              <a:lnRef idx="0"/>
                              <a:fillRef idx="0"/>
                              <a:effectRef idx="0"/>
                              <a:fontRef idx="minor"/>
                            </wps:style>
                            <wps:bodyPr/>
                          </wps:wsp>
                        </a:graphicData>
                      </a:graphic>
                    </wp:anchor>
                  </w:drawing>
                </mc:Choice>
                <mc:Fallback>
                  <w:pict>
                    <v:line id="shape_0" from="111.65pt,11.55pt" to="260.7pt,11.8pt" ID="Straight Connector 27" stroked="t" o:allowincell="t" style="position:absolute">
                      <v:stroke color="#4f81bd" joinstyle="round" endcap="flat"/>
                      <v:fill o:detectmouseclick="t" on="false"/>
                      <w10:wrap type="none"/>
                    </v:line>
                  </w:pict>
                </mc:Fallback>
              </mc:AlternateConten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r>
      <w:tr>
        <w:trPr/>
        <w:tc>
          <w:tcPr>
            <w:tcW w:w="3978" w:type="dxa"/>
            <w:tcBorders>
              <w:top w:val="nil"/>
              <w:bottom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mc:AlternateContent>
                <mc:Choice Requires="wps">
                  <w:drawing>
                    <wp:anchor behindDoc="0" distT="0" distB="0" distL="0" distR="0" simplePos="0" locked="0" layoutInCell="1" allowOverlap="1" relativeHeight="41">
                      <wp:simplePos x="0" y="0"/>
                      <wp:positionH relativeFrom="column">
                        <wp:posOffset>2041525</wp:posOffset>
                      </wp:positionH>
                      <wp:positionV relativeFrom="paragraph">
                        <wp:posOffset>-3175</wp:posOffset>
                      </wp:positionV>
                      <wp:extent cx="1134745" cy="292100"/>
                      <wp:effectExtent l="0" t="0" r="0" b="0"/>
                      <wp:wrapNone/>
                      <wp:docPr id="49" name="Frame7"/>
                      <a:graphic xmlns:a="http://schemas.openxmlformats.org/drawingml/2006/main">
                        <a:graphicData uri="http://schemas.microsoft.com/office/word/2010/wordprocessingShape">
                          <wps:wsp>
                            <wps:cNvSpPr/>
                            <wps:spPr>
                              <a:xfrm>
                                <a:off x="0" y="0"/>
                                <a:ext cx="1134000" cy="291600"/>
                              </a:xfrm>
                              <a:prstGeom prst="rect">
                                <a:avLst/>
                              </a:prstGeom>
                              <a:noFill/>
                              <a:ln w="0">
                                <a:noFill/>
                              </a:ln>
                            </wps:spPr>
                            <wps:style>
                              <a:lnRef idx="0"/>
                              <a:fillRef idx="0"/>
                              <a:effectRef idx="0"/>
                              <a:fontRef idx="minor"/>
                            </wps:style>
                            <wps:txbx>
                              <w:txbxContent>
                                <w:p>
                                  <w:pPr>
                                    <w:pStyle w:val="FrameContents"/>
                                    <w:widowControl w:val="false"/>
                                    <w:spacing w:before="0" w:after="200"/>
                                    <w:jc w:val="center"/>
                                    <w:rPr/>
                                  </w:pPr>
                                  <w:r>
                                    <w:rPr>
                                      <w:rFonts w:cs="Courier New" w:ascii="Courier New" w:hAnsi="Courier New"/>
                                      <w:color w:val="4F81BD" w:themeColor="accent1"/>
                                      <w:sz w:val="18"/>
                                      <w:szCs w:val="18"/>
                                    </w:rPr>
                                    <w:t>Close</w:t>
                                  </w:r>
                                </w:p>
                              </w:txbxContent>
                            </wps:txbx>
                            <wps:bodyPr anchor="t">
                              <a:noAutofit/>
                            </wps:bodyPr>
                          </wps:wsp>
                        </a:graphicData>
                      </a:graphic>
                    </wp:anchor>
                  </w:drawing>
                </mc:Choice>
                <mc:Fallback>
                  <w:pict>
                    <v:rect id="shape_0" ID="Frame7" path="m0,0l-2147483645,0l-2147483645,-2147483646l0,-2147483646xe" stroked="f" o:allowincell="t" style="position:absolute;margin-left:160.75pt;margin-top:-0.25pt;width:89.25pt;height:22.9pt;mso-wrap-style:square;v-text-anchor:top">
                      <v:fill o:detectmouseclick="t" on="false"/>
                      <v:stroke color="#3465a4" joinstyle="round" endcap="flat"/>
                      <v:textbox>
                        <w:txbxContent>
                          <w:p>
                            <w:pPr>
                              <w:pStyle w:val="FrameContents"/>
                              <w:widowControl w:val="false"/>
                              <w:spacing w:before="0" w:after="200"/>
                              <w:jc w:val="center"/>
                              <w:rPr/>
                            </w:pPr>
                            <w:r>
                              <w:rPr>
                                <w:rFonts w:cs="Courier New" w:ascii="Courier New" w:hAnsi="Courier New"/>
                                <w:color w:val="4F81BD" w:themeColor="accent1"/>
                                <w:sz w:val="18"/>
                                <w:szCs w:val="18"/>
                              </w:rPr>
                              <w:t>Close</w:t>
                            </w:r>
                          </w:p>
                        </w:txbxContent>
                      </v:textbox>
                      <w10:wrap type="none"/>
                    </v:rect>
                  </w:pict>
                </mc:Fallback>
              </mc:AlternateContent>
            </w:r>
            <w:r>
              <w:rPr>
                <w:rFonts w:cs="Courier New" w:ascii="Courier New" w:hAnsi="Courier New"/>
                <w:sz w:val="18"/>
                <w:szCs w:val="18"/>
              </w:rPr>
              <w:t>socket_close (&amp;client) ;</w:t>
            </w:r>
          </w:p>
        </w:tc>
        <w:tc>
          <w:tcPr>
            <w:tcW w:w="1341" w:type="dxa"/>
            <w:tcBorders>
              <w:top w:val="nil"/>
              <w:left w:val="nil"/>
              <w:bottom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bottom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socket_close (&amp;client) ;</w:t>
            </w:r>
          </w:p>
        </w:tc>
      </w:tr>
      <w:tr>
        <w:trPr/>
        <w:tc>
          <w:tcPr>
            <w:tcW w:w="3978" w:type="dxa"/>
            <w:tcBorders>
              <w:top w:val="nil"/>
              <w:right w:val="nil"/>
            </w:tcBorders>
            <w:shd w:fill="auto" w:val="cle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1341" w:type="dxa"/>
            <w:tcBorders>
              <w:top w:val="nil"/>
              <w:left w:val="nil"/>
              <w:righ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20"/>
                <w:szCs w:val="18"/>
              </w:rPr>
            </w:r>
          </w:p>
        </w:tc>
        <w:tc>
          <w:tcPr>
            <w:tcW w:w="4239" w:type="dxa"/>
            <w:tcBorders>
              <w:top w:val="nil"/>
              <w:left w:val="nil"/>
            </w:tcBorders>
            <w:shd w:fill="auto" w:val="clear"/>
            <w:tcMar>
              <w:left w:w="113" w:type="dxa"/>
            </w:tcMar>
          </w:tcPr>
          <w:p>
            <w:pPr>
              <w:pStyle w:val="Normal"/>
              <w:widowControl w:val="false"/>
              <w:spacing w:lineRule="auto" w:line="240" w:before="0" w:after="0"/>
              <w:jc w:val="left"/>
              <w:rPr>
                <w:rFonts w:ascii="Courier New" w:hAnsi="Courier New" w:cs="Courier New"/>
                <w:sz w:val="18"/>
                <w:szCs w:val="18"/>
              </w:rPr>
            </w:pPr>
            <w:r>
              <w:rPr>
                <w:rFonts w:cs="Courier New" w:ascii="Courier New" w:hAnsi="Courier New"/>
                <w:sz w:val="18"/>
                <w:szCs w:val="18"/>
              </w:rPr>
              <w:t>socket_close (&amp;server) ;</w:t>
            </w:r>
          </w:p>
        </w:tc>
      </w:tr>
    </w:tbl>
    <w:p>
      <w:pPr>
        <w:pStyle w:val="Normal"/>
        <w:rPr/>
      </w:pPr>
      <w:r>
        <w:rPr/>
      </w:r>
    </w:p>
    <w:p>
      <w:pPr>
        <w:pStyle w:val="Heading2"/>
        <w:numPr>
          <w:ilvl w:val="0"/>
          <w:numId w:val="20"/>
        </w:numPr>
        <w:rPr>
          <w:rFonts w:ascii="Courier New" w:hAnsi="Courier New" w:cs="Courier New"/>
        </w:rPr>
      </w:pPr>
      <w:bookmarkStart w:id="120" w:name="__RefHeading___Toc3009_2393532176"/>
      <w:bookmarkStart w:id="121" w:name="_Toc442446464"/>
      <w:bookmarkEnd w:id="120"/>
      <w:r>
        <mc:AlternateContent>
          <mc:Choice Requires="wps">
            <w:drawing>
              <wp:anchor behindDoc="1" distT="6350" distB="6350" distL="6350" distR="6350" simplePos="0" locked="0" layoutInCell="0" allowOverlap="1" relativeHeight="7">
                <wp:simplePos x="0" y="0"/>
                <wp:positionH relativeFrom="column">
                  <wp:posOffset>3585210</wp:posOffset>
                </wp:positionH>
                <wp:positionV relativeFrom="paragraph">
                  <wp:posOffset>-4445</wp:posOffset>
                </wp:positionV>
                <wp:extent cx="154940" cy="2620645"/>
                <wp:effectExtent l="0" t="0" r="0" b="0"/>
                <wp:wrapNone/>
                <wp:docPr id="51" name="Left Brace 290"/>
                <a:graphic xmlns:a="http://schemas.openxmlformats.org/drawingml/2006/main">
                  <a:graphicData uri="http://schemas.microsoft.com/office/word/2010/wordprocessingShape">
                    <wps:wsp>
                      <wps:cNvSpPr/>
                      <wps:spPr>
                        <a:xfrm rot="16200000">
                          <a:off x="0" y="0"/>
                          <a:ext cx="154440" cy="2620080"/>
                        </a:xfrm>
                        <a:custGeom>
                          <a:avLst/>
                          <a:gdLst/>
                          <a:ahLst/>
                          <a:rect l="l" t="t" r="r" b="b"/>
                          <a:pathLst>
                            <a:path w="215" h="4098">
                              <a:moveTo>
                                <a:pt x="214" y="0"/>
                              </a:moveTo>
                              <a:cubicBezTo>
                                <a:pt x="160" y="0"/>
                                <a:pt x="107" y="170"/>
                                <a:pt x="107" y="341"/>
                              </a:cubicBezTo>
                              <a:lnTo>
                                <a:pt x="107" y="1707"/>
                              </a:lnTo>
                              <a:cubicBezTo>
                                <a:pt x="107" y="1877"/>
                                <a:pt x="53" y="2048"/>
                                <a:pt x="0" y="2048"/>
                              </a:cubicBezTo>
                              <a:cubicBezTo>
                                <a:pt x="53" y="2048"/>
                                <a:pt x="107" y="2219"/>
                                <a:pt x="107" y="2389"/>
                              </a:cubicBezTo>
                              <a:lnTo>
                                <a:pt x="107" y="3755"/>
                              </a:lnTo>
                              <a:cubicBezTo>
                                <a:pt x="107" y="3926"/>
                                <a:pt x="160" y="4097"/>
                                <a:pt x="214" y="4097"/>
                              </a:cubicBezTo>
                            </a:path>
                          </a:pathLst>
                        </a:custGeom>
                        <a:noFill/>
                        <a:ln w="12600">
                          <a:solidFill>
                            <a:srgbClr val="000000"/>
                          </a:solidFill>
                          <a:round/>
                        </a:ln>
                      </wps:spPr>
                      <wps:style>
                        <a:lnRef idx="0"/>
                        <a:fillRef idx="0"/>
                        <a:effectRef idx="0"/>
                        <a:fontRef idx="minor"/>
                      </wps:style>
                      <wps:bodyPr/>
                    </wps:wsp>
                  </a:graphicData>
                </a:graphic>
              </wp:anchor>
            </w:drawing>
          </mc:Choice>
          <mc:Fallback>
            <w:pict/>
          </mc:Fallback>
        </mc:AlternateContent>
      </w:r>
      <w:r>
        <w:rPr>
          <w:rFonts w:cs="Courier New" w:ascii="Courier New" w:hAnsi="Courier New"/>
        </w:rPr>
        <w:t>N</w:t>
      </w:r>
      <w:bookmarkEnd w:id="121"/>
      <w:r>
        <w:rPr>
          <w:rFonts w:cs="Courier New" w:ascii="Courier New" w:hAnsi="Courier New"/>
        </w:rPr>
        <w:t>etworkMessage</w:t>
      </w:r>
    </w:p>
    <w:p>
      <w:pPr>
        <w:pStyle w:val="Normal"/>
        <w:jc w:val="both"/>
        <w:rPr/>
      </w:pPr>
      <w:r>
        <mc:AlternateContent>
          <mc:Choice Requires="wps">
            <w:drawing>
              <wp:anchor behindDoc="1" distT="6350" distB="6350" distL="6350" distR="6350" simplePos="0" locked="0" layoutInCell="0" allowOverlap="1" relativeHeight="6">
                <wp:simplePos x="0" y="0"/>
                <wp:positionH relativeFrom="column">
                  <wp:posOffset>1427480</wp:posOffset>
                </wp:positionH>
                <wp:positionV relativeFrom="paragraph">
                  <wp:posOffset>232410</wp:posOffset>
                </wp:positionV>
                <wp:extent cx="154940" cy="1664335"/>
                <wp:effectExtent l="0" t="0" r="0" b="0"/>
                <wp:wrapNone/>
                <wp:docPr id="52" name="Left Brace 24"/>
                <a:graphic xmlns:a="http://schemas.openxmlformats.org/drawingml/2006/main">
                  <a:graphicData uri="http://schemas.microsoft.com/office/word/2010/wordprocessingShape">
                    <wps:wsp>
                      <wps:cNvSpPr/>
                      <wps:spPr>
                        <a:xfrm rot="16200000">
                          <a:off x="0" y="0"/>
                          <a:ext cx="154440" cy="1663560"/>
                        </a:xfrm>
                        <a:custGeom>
                          <a:avLst/>
                          <a:gdLst/>
                          <a:ahLst/>
                          <a:rect l="l" t="t" r="r" b="b"/>
                          <a:pathLst>
                            <a:path w="215" h="2592">
                              <a:moveTo>
                                <a:pt x="214" y="0"/>
                              </a:moveTo>
                              <a:cubicBezTo>
                                <a:pt x="160" y="0"/>
                                <a:pt x="107" y="107"/>
                                <a:pt x="107" y="215"/>
                              </a:cubicBezTo>
                              <a:lnTo>
                                <a:pt x="107" y="1079"/>
                              </a:lnTo>
                              <a:cubicBezTo>
                                <a:pt x="107" y="1187"/>
                                <a:pt x="53" y="1295"/>
                                <a:pt x="0" y="1295"/>
                              </a:cubicBezTo>
                              <a:cubicBezTo>
                                <a:pt x="53" y="1295"/>
                                <a:pt x="107" y="1403"/>
                                <a:pt x="107" y="1511"/>
                              </a:cubicBezTo>
                              <a:lnTo>
                                <a:pt x="107" y="2375"/>
                              </a:lnTo>
                              <a:cubicBezTo>
                                <a:pt x="107" y="2483"/>
                                <a:pt x="160" y="2591"/>
                                <a:pt x="214" y="2591"/>
                              </a:cubicBezTo>
                            </a:path>
                          </a:pathLst>
                        </a:custGeom>
                        <a:noFill/>
                        <a:ln w="12600">
                          <a:solidFill>
                            <a:srgbClr val="000000"/>
                          </a:solidFill>
                          <a:round/>
                        </a:ln>
                      </wps:spPr>
                      <wps:style>
                        <a:lnRef idx="0"/>
                        <a:fillRef idx="0"/>
                        <a:effectRef idx="0"/>
                        <a:fontRef idx="minor"/>
                      </wps:style>
                      <wps:bodyPr/>
                    </wps:wsp>
                  </a:graphicData>
                </a:graphic>
              </wp:anchor>
            </w:drawing>
          </mc:Choice>
          <mc:Fallback>
            <w:pict/>
          </mc:Fallback>
        </mc:AlternateContent>
      </w:r>
      <w:r>
        <w:rPr/>
        <w:t xml:space="preserve">The data type </w:t>
      </w:r>
      <w:r>
        <w:rPr>
          <w:rFonts w:cs="Courier New" w:ascii="Courier New" w:hAnsi="Courier New"/>
          <w:sz w:val="18"/>
        </w:rPr>
        <w:t>NetworkMessage_t</w:t>
      </w:r>
      <w:r>
        <w:rPr/>
        <w:t xml:space="preserve">, available including the header file </w:t>
      </w:r>
      <w:r>
        <w:rPr>
          <w:rFonts w:cs="Courier New" w:ascii="Courier New" w:hAnsi="Courier New"/>
          <w:sz w:val="18"/>
        </w:rPr>
        <w:t>network_message.h</w:t>
      </w:r>
      <w:r>
        <w:rPr/>
        <w:t>, stores the message that can be sent over the network sockets to exchange information between two processes. The structure of the messages that can be built with 3D-ICE is the following:</w:t>
      </w:r>
    </w:p>
    <w:p>
      <w:pPr>
        <w:pStyle w:val="Normal"/>
        <w:jc w:val="both"/>
        <w:rPr>
          <w:sz w:val="2"/>
        </w:rPr>
      </w:pPr>
      <w:r>
        <w:rPr>
          <w:sz w:val="2"/>
        </w:rPr>
      </w:r>
    </w:p>
    <w:tbl>
      <w:tblPr>
        <w:tblStyle w:val="Tabellenraster"/>
        <w:tblW w:w="6750" w:type="dxa"/>
        <w:jc w:val="left"/>
        <w:tblInd w:w="1178" w:type="dxa"/>
        <w:tblLayout w:type="fixed"/>
        <w:tblCellMar>
          <w:top w:w="0" w:type="dxa"/>
          <w:left w:w="98" w:type="dxa"/>
          <w:bottom w:w="0" w:type="dxa"/>
          <w:right w:w="108" w:type="dxa"/>
        </w:tblCellMar>
        <w:tblLook w:firstRow="1" w:noVBand="1" w:lastRow="0" w:firstColumn="1" w:lastColumn="0" w:noHBand="0" w:val="04a0"/>
      </w:tblPr>
      <w:tblGrid>
        <w:gridCol w:w="1530"/>
        <w:gridCol w:w="1080"/>
        <w:gridCol w:w="4140"/>
      </w:tblGrid>
      <w:tr>
        <w:trPr/>
        <w:tc>
          <w:tcPr>
            <w:tcW w:w="1530" w:type="dxa"/>
            <w:tcBorders/>
            <w:shd w:fill="auto" w:val="clear"/>
          </w:tcPr>
          <w:p>
            <w:pPr>
              <w:pStyle w:val="Normal"/>
              <w:widowControl w:val="false"/>
              <w:spacing w:lineRule="auto" w:line="240" w:before="0" w:after="0"/>
              <w:jc w:val="center"/>
              <w:rPr>
                <w:rFonts w:ascii="Courier New" w:hAnsi="Courier New" w:cs="Courier New"/>
                <w:sz w:val="18"/>
              </w:rPr>
            </w:pPr>
            <w:r>
              <w:rPr>
                <w:rFonts w:cs="Courier New" w:ascii="Courier New" w:hAnsi="Courier New"/>
                <w:sz w:val="18"/>
              </w:rPr>
              <w:t>Length</w:t>
            </w:r>
          </w:p>
        </w:tc>
        <w:tc>
          <w:tcPr>
            <w:tcW w:w="1080" w:type="dxa"/>
            <w:tcBorders/>
            <w:shd w:fill="auto" w:val="clear"/>
          </w:tcPr>
          <w:p>
            <w:pPr>
              <w:pStyle w:val="Normal"/>
              <w:widowControl w:val="false"/>
              <w:spacing w:lineRule="auto" w:line="240" w:before="0" w:after="0"/>
              <w:jc w:val="center"/>
              <w:rPr>
                <w:rFonts w:ascii="Courier New" w:hAnsi="Courier New" w:cs="Courier New"/>
                <w:sz w:val="18"/>
              </w:rPr>
            </w:pPr>
            <w:r>
              <w:rPr>
                <w:rFonts w:cs="Courier New" w:ascii="Courier New" w:hAnsi="Courier New"/>
                <w:sz w:val="18"/>
              </w:rPr>
              <w:t>Type</w:t>
            </w:r>
          </w:p>
        </w:tc>
        <w:tc>
          <w:tcPr>
            <w:tcW w:w="4140" w:type="dxa"/>
            <w:tcBorders/>
            <w:shd w:fill="auto" w:val="clear"/>
          </w:tcPr>
          <w:p>
            <w:pPr>
              <w:pStyle w:val="Normal"/>
              <w:widowControl w:val="false"/>
              <w:spacing w:lineRule="auto" w:line="240" w:before="0" w:after="0"/>
              <w:jc w:val="center"/>
              <w:rPr>
                <w:rFonts w:ascii="Courier New" w:hAnsi="Courier New" w:cs="Courier New"/>
                <w:sz w:val="18"/>
              </w:rPr>
            </w:pPr>
            <w:r>
              <w:rPr>
                <w:rFonts w:cs="Courier New" w:ascii="Courier New" w:hAnsi="Courier New"/>
                <w:sz w:val="18"/>
              </w:rPr>
              <w:t xml:space="preserve"> … </w:t>
            </w:r>
            <w:r>
              <w:rPr>
                <w:rFonts w:cs="Courier New" w:ascii="Courier New" w:hAnsi="Courier New"/>
                <w:sz w:val="18"/>
              </w:rPr>
              <w:t>Data …</w:t>
            </w:r>
          </w:p>
        </w:tc>
      </w:tr>
    </w:tbl>
    <w:p>
      <w:pPr>
        <w:pStyle w:val="Normal"/>
        <w:jc w:val="both"/>
        <w:rPr/>
      </w:pPr>
      <w:r>
        <w:rPr/>
        <mc:AlternateContent>
          <mc:Choice Requires="wps">
            <w:drawing>
              <wp:anchor behindDoc="0" distT="0" distB="0" distL="0" distR="0" simplePos="0" locked="0" layoutInCell="0" allowOverlap="1" relativeHeight="43">
                <wp:simplePos x="0" y="0"/>
                <wp:positionH relativeFrom="column">
                  <wp:posOffset>929005</wp:posOffset>
                </wp:positionH>
                <wp:positionV relativeFrom="paragraph">
                  <wp:posOffset>175260</wp:posOffset>
                </wp:positionV>
                <wp:extent cx="1156335" cy="249555"/>
                <wp:effectExtent l="0" t="0" r="0" b="0"/>
                <wp:wrapNone/>
                <wp:docPr id="53" name="Frame9"/>
                <a:graphic xmlns:a="http://schemas.openxmlformats.org/drawingml/2006/main">
                  <a:graphicData uri="http://schemas.microsoft.com/office/word/2010/wordprocessingShape">
                    <wps:wsp>
                      <wps:cNvSpPr/>
                      <wps:spPr>
                        <a:xfrm>
                          <a:off x="0" y="0"/>
                          <a:ext cx="1155600" cy="248760"/>
                        </a:xfrm>
                        <a:prstGeom prst="rect">
                          <a:avLst/>
                        </a:prstGeom>
                        <a:noFill/>
                        <a:ln w="0">
                          <a:noFill/>
                        </a:ln>
                      </wps:spPr>
                      <wps:style>
                        <a:lnRef idx="0"/>
                        <a:fillRef idx="0"/>
                        <a:effectRef idx="0"/>
                        <a:fontRef idx="minor"/>
                      </wps:style>
                      <wps:txbx>
                        <w:txbxContent>
                          <w:p>
                            <w:pPr>
                              <w:pStyle w:val="FrameContents"/>
                              <w:spacing w:before="0" w:after="200"/>
                              <w:jc w:val="center"/>
                              <w:rPr/>
                            </w:pPr>
                            <w:r>
                              <w:rPr>
                                <w:rFonts w:cs="Courier New" w:ascii="Courier New" w:hAnsi="Courier New"/>
                                <w:color w:val="000000" w:themeColor="text1"/>
                                <w:sz w:val="18"/>
                              </w:rPr>
                              <w:t>Header</w:t>
                            </w:r>
                          </w:p>
                        </w:txbxContent>
                      </wps:txbx>
                      <wps:bodyPr anchor="t">
                        <a:noAutofit/>
                      </wps:bodyPr>
                    </wps:wsp>
                  </a:graphicData>
                </a:graphic>
              </wp:anchor>
            </w:drawing>
          </mc:Choice>
          <mc:Fallback>
            <w:pict>
              <v:rect id="shape_0" ID="Frame9" path="m0,0l-2147483645,0l-2147483645,-2147483646l0,-2147483646xe" stroked="f" o:allowincell="f" style="position:absolute;margin-left:73.15pt;margin-top:13.8pt;width:90.95pt;height:19.55pt;mso-wrap-style:square;v-text-anchor:top">
                <v:fill o:detectmouseclick="t" on="false"/>
                <v:stroke color="#3465a4" joinstyle="round" endcap="flat"/>
                <v:textbox>
                  <w:txbxContent>
                    <w:p>
                      <w:pPr>
                        <w:pStyle w:val="FrameContents"/>
                        <w:spacing w:before="0" w:after="200"/>
                        <w:jc w:val="center"/>
                        <w:rPr/>
                      </w:pPr>
                      <w:r>
                        <w:rPr>
                          <w:rFonts w:cs="Courier New" w:ascii="Courier New" w:hAnsi="Courier New"/>
                          <w:color w:val="000000" w:themeColor="text1"/>
                          <w:sz w:val="18"/>
                        </w:rPr>
                        <w:t>Header</w:t>
                      </w:r>
                    </w:p>
                  </w:txbxContent>
                </v:textbox>
                <w10:wrap type="none"/>
              </v:rect>
            </w:pict>
          </mc:Fallback>
        </mc:AlternateContent>
        <mc:AlternateContent>
          <mc:Choice Requires="wps">
            <w:drawing>
              <wp:anchor behindDoc="0" distT="0" distB="0" distL="0" distR="0" simplePos="0" locked="0" layoutInCell="0" allowOverlap="1" relativeHeight="45">
                <wp:simplePos x="0" y="0"/>
                <wp:positionH relativeFrom="column">
                  <wp:posOffset>3086100</wp:posOffset>
                </wp:positionH>
                <wp:positionV relativeFrom="paragraph">
                  <wp:posOffset>170815</wp:posOffset>
                </wp:positionV>
                <wp:extent cx="1155700" cy="249555"/>
                <wp:effectExtent l="0" t="0" r="0" b="0"/>
                <wp:wrapNone/>
                <wp:docPr id="55" name="Frame8"/>
                <a:graphic xmlns:a="http://schemas.openxmlformats.org/drawingml/2006/main">
                  <a:graphicData uri="http://schemas.microsoft.com/office/word/2010/wordprocessingShape">
                    <wps:wsp>
                      <wps:cNvSpPr/>
                      <wps:spPr>
                        <a:xfrm>
                          <a:off x="0" y="0"/>
                          <a:ext cx="1155240" cy="248760"/>
                        </a:xfrm>
                        <a:prstGeom prst="rect">
                          <a:avLst/>
                        </a:prstGeom>
                        <a:noFill/>
                        <a:ln w="0">
                          <a:noFill/>
                        </a:ln>
                      </wps:spPr>
                      <wps:style>
                        <a:lnRef idx="0"/>
                        <a:fillRef idx="0"/>
                        <a:effectRef idx="0"/>
                        <a:fontRef idx="minor"/>
                      </wps:style>
                      <wps:txbx>
                        <w:txbxContent>
                          <w:p>
                            <w:pPr>
                              <w:pStyle w:val="FrameContents"/>
                              <w:spacing w:before="0" w:after="200"/>
                              <w:jc w:val="center"/>
                              <w:rPr/>
                            </w:pPr>
                            <w:r>
                              <w:rPr>
                                <w:rFonts w:cs="Courier New" w:ascii="Courier New" w:hAnsi="Courier New"/>
                                <w:color w:val="000000" w:themeColor="text1"/>
                                <w:sz w:val="18"/>
                              </w:rPr>
                              <w:t>Payload</w:t>
                            </w:r>
                          </w:p>
                        </w:txbxContent>
                      </wps:txbx>
                      <wps:bodyPr anchor="t">
                        <a:noAutofit/>
                      </wps:bodyPr>
                    </wps:wsp>
                  </a:graphicData>
                </a:graphic>
              </wp:anchor>
            </w:drawing>
          </mc:Choice>
          <mc:Fallback>
            <w:pict>
              <v:rect id="shape_0" ID="Frame8" path="m0,0l-2147483645,0l-2147483645,-2147483646l0,-2147483646xe" stroked="f" o:allowincell="f" style="position:absolute;margin-left:243pt;margin-top:13.45pt;width:90.9pt;height:19.55pt;mso-wrap-style:square;v-text-anchor:top">
                <v:fill o:detectmouseclick="t" on="false"/>
                <v:stroke color="#3465a4" joinstyle="round" endcap="flat"/>
                <v:textbox>
                  <w:txbxContent>
                    <w:p>
                      <w:pPr>
                        <w:pStyle w:val="FrameContents"/>
                        <w:spacing w:before="0" w:after="200"/>
                        <w:jc w:val="center"/>
                        <w:rPr/>
                      </w:pPr>
                      <w:r>
                        <w:rPr>
                          <w:rFonts w:cs="Courier New" w:ascii="Courier New" w:hAnsi="Courier New"/>
                          <w:color w:val="000000" w:themeColor="text1"/>
                          <w:sz w:val="18"/>
                        </w:rPr>
                        <w:t>Payload</w:t>
                      </w:r>
                    </w:p>
                  </w:txbxContent>
                </v:textbox>
                <w10:wrap type="none"/>
              </v:rect>
            </w:pict>
          </mc:Fallback>
        </mc:AlternateContent>
      </w:r>
    </w:p>
    <w:p>
      <w:pPr>
        <w:pStyle w:val="Normal"/>
        <w:jc w:val="both"/>
        <w:rPr>
          <w:sz w:val="2"/>
        </w:rPr>
      </w:pPr>
      <w:r>
        <w:rPr>
          <w:sz w:val="2"/>
        </w:rPr>
      </w:r>
    </w:p>
    <w:p>
      <w:pPr>
        <w:pStyle w:val="Normal"/>
        <w:jc w:val="both"/>
        <w:rPr/>
      </w:pPr>
      <w:r>
        <w:rPr/>
        <w:t xml:space="preserve">The header of the message contains two words: </w:t>
      </w:r>
      <w:r>
        <w:rPr>
          <w:rFonts w:cs="Courier New" w:ascii="Courier New" w:hAnsi="Courier New"/>
          <w:sz w:val="18"/>
          <w:szCs w:val="18"/>
        </w:rPr>
        <w:t>Length</w:t>
      </w:r>
      <w:r>
        <w:rPr/>
        <w:t xml:space="preserve"> and </w:t>
      </w:r>
      <w:r>
        <w:rPr>
          <w:rFonts w:cs="Courier New" w:ascii="Courier New" w:hAnsi="Courier New"/>
          <w:sz w:val="18"/>
        </w:rPr>
        <w:t>Type</w:t>
      </w:r>
      <w:r>
        <w:rPr/>
        <w:t xml:space="preserve">. </w:t>
      </w:r>
      <w:r>
        <w:rPr>
          <w:rFonts w:cs="Courier New" w:ascii="Courier New" w:hAnsi="Courier New"/>
          <w:sz w:val="18"/>
        </w:rPr>
        <w:t>Length</w:t>
      </w:r>
      <w:r>
        <w:rPr/>
        <w:t xml:space="preserve"> indicates the total length of the message (header plus payload), expressed as number of words that are going to be sent or received through the socket, while </w:t>
      </w:r>
      <w:r>
        <w:rPr>
          <w:rFonts w:cs="Courier New" w:ascii="Courier New" w:hAnsi="Courier New"/>
          <w:sz w:val="18"/>
        </w:rPr>
        <w:t>Type</w:t>
      </w:r>
      <w:r>
        <w:rPr/>
        <w:t xml:space="preserve"> indicates the type of data that the message contains. The messages can have any length and the functions available in </w:t>
      </w:r>
      <w:r>
        <w:rPr>
          <w:rFonts w:cs="Courier New" w:ascii="Courier New" w:hAnsi="Courier New"/>
          <w:sz w:val="18"/>
        </w:rPr>
        <w:t>network_message.h</w:t>
      </w:r>
      <w:r>
        <w:rPr/>
        <w:t xml:space="preserve"> guarantee that the memory to store the messages is handled transparently: the user must not worry about the content of the field length because its value is computed or updated internally whenever new data is added in the payload. The types of network messages supported so far in 3D-ICE are defined through the enumeration </w:t>
      </w:r>
      <w:r>
        <w:rPr>
          <w:rFonts w:cs="Courier New" w:ascii="Courier New" w:hAnsi="Courier New"/>
          <w:sz w:val="18"/>
        </w:rPr>
        <w:t>MessageType_t</w:t>
      </w:r>
      <w:r>
        <w:rPr/>
        <w:t xml:space="preserve"> defined in the header file </w:t>
      </w:r>
      <w:r>
        <w:rPr>
          <w:rFonts w:cs="Courier New" w:ascii="Courier New" w:hAnsi="Courier New"/>
          <w:sz w:val="18"/>
        </w:rPr>
        <w:t>types.h</w:t>
      </w:r>
      <w:r>
        <w:rPr/>
        <w:t>. The user is free to add new message types and to define the corresponding payload as well as the operations that either the client or the server must do whenever they send or receive a message of such type.</w:t>
      </w:r>
    </w:p>
    <w:p>
      <w:pPr>
        <w:pStyle w:val="Normal"/>
        <w:jc w:val="both"/>
        <w:rPr/>
      </w:pPr>
      <w:r>
        <w:rPr/>
        <w:t>The sequence of functions that must be used to create and send a message is the following:</w:t>
      </w:r>
    </w:p>
    <w:p>
      <w:pPr>
        <w:pStyle w:val="ListParagraph"/>
        <w:numPr>
          <w:ilvl w:val="0"/>
          <w:numId w:val="27"/>
        </w:numPr>
        <w:jc w:val="both"/>
        <w:rPr>
          <w:rFonts w:ascii="Courier New" w:hAnsi="Courier New" w:cs="Courier New"/>
        </w:rPr>
      </w:pPr>
      <w:r>
        <w:rPr>
          <w:rFonts w:cs="Courier New" w:ascii="Courier New" w:hAnsi="Courier New"/>
          <w:sz w:val="18"/>
        </w:rPr>
        <w:t>network_message_init (NetworkMessage_t *)</w:t>
      </w:r>
    </w:p>
    <w:p>
      <w:pPr>
        <w:pStyle w:val="ListParagraph"/>
        <w:numPr>
          <w:ilvl w:val="0"/>
          <w:numId w:val="27"/>
        </w:numPr>
        <w:jc w:val="both"/>
        <w:rPr>
          <w:rFonts w:ascii="Courier New" w:hAnsi="Courier New" w:cs="Courier New"/>
          <w:sz w:val="18"/>
        </w:rPr>
      </w:pPr>
      <w:r>
        <w:rPr>
          <w:rFonts w:cs="Courier New" w:ascii="Courier New" w:hAnsi="Courier New"/>
          <w:sz w:val="18"/>
        </w:rPr>
        <w:t>build_message_head (NetworkMessage_t *, MessageType_t)</w:t>
      </w:r>
    </w:p>
    <w:p>
      <w:pPr>
        <w:pStyle w:val="ListParagraph"/>
        <w:numPr>
          <w:ilvl w:val="0"/>
          <w:numId w:val="27"/>
        </w:numPr>
        <w:jc w:val="both"/>
        <w:rPr>
          <w:rFonts w:ascii="Courier New" w:hAnsi="Courier New" w:cs="Courier New"/>
          <w:sz w:val="18"/>
        </w:rPr>
      </w:pPr>
      <w:r>
        <w:rPr>
          <w:rFonts w:cs="Courier New" w:ascii="Courier New" w:hAnsi="Courier New"/>
          <w:sz w:val="18"/>
        </w:rPr>
        <w:t>insert_message_word (NetworkMessage_t *, void *)</w:t>
      </w:r>
    </w:p>
    <w:p>
      <w:pPr>
        <w:pStyle w:val="ListParagraph"/>
        <w:numPr>
          <w:ilvl w:val="0"/>
          <w:numId w:val="27"/>
        </w:numPr>
        <w:jc w:val="both"/>
        <w:rPr>
          <w:rFonts w:ascii="Courier New" w:hAnsi="Courier New" w:cs="Courier New"/>
          <w:sz w:val="18"/>
        </w:rPr>
      </w:pPr>
      <w:r>
        <w:rPr>
          <w:rFonts w:cs="Courier New" w:ascii="Courier New" w:hAnsi="Courier New"/>
          <w:sz w:val="18"/>
        </w:rPr>
        <w:t>send_message_to_socket (Socket_t *, NetworkMessage_t *)</w:t>
      </w:r>
    </w:p>
    <w:p>
      <w:pPr>
        <w:pStyle w:val="ListParagraph"/>
        <w:numPr>
          <w:ilvl w:val="0"/>
          <w:numId w:val="27"/>
        </w:numPr>
        <w:jc w:val="both"/>
        <w:rPr>
          <w:rFonts w:ascii="Courier New" w:hAnsi="Courier New" w:cs="Courier New"/>
        </w:rPr>
      </w:pPr>
      <w:r>
        <w:rPr>
          <w:rFonts w:cs="Courier New" w:ascii="Courier New" w:hAnsi="Courier New"/>
          <w:sz w:val="18"/>
        </w:rPr>
        <w:t>network_message_destroy (NetworkMessage_t *)</w:t>
      </w:r>
    </w:p>
    <w:p>
      <w:pPr>
        <w:pStyle w:val="Normal"/>
        <w:jc w:val="both"/>
        <w:rPr/>
      </w:pPr>
      <w:r>
        <w:rPr/>
        <w:t xml:space="preserve">The function called to insert a word of data in the payload must be called as many times as the number of words that must be present in the message according to its type. When the message is built, </w:t>
      </w:r>
      <w:r>
        <w:rPr>
          <w:b/>
        </w:rPr>
        <w:t>the payload behaves as a stack</w:t>
      </w:r>
      <w:r>
        <w:rPr/>
        <w:t xml:space="preserve">, meaning that every time that a word is inserted with </w:t>
      </w:r>
      <w:r>
        <w:rPr>
          <w:rFonts w:cs="Courier New" w:ascii="Courier New" w:hAnsi="Courier New"/>
          <w:sz w:val="18"/>
        </w:rPr>
        <w:t>insert_message_word</w:t>
      </w:r>
      <w:r>
        <w:rPr/>
        <w:t xml:space="preserve">, that word will be put at the right of the actual payload and the length of the message will automatically be increased by one unity. Therefore, </w:t>
      </w:r>
      <w:r>
        <w:rPr>
          <w:b/>
        </w:rPr>
        <w:t>the order of the calls</w:t>
      </w:r>
      <w:r>
        <w:rPr/>
        <w:t xml:space="preserve"> to </w:t>
      </w:r>
      <w:r>
        <w:rPr>
          <w:rFonts w:cs="Courier New" w:ascii="Courier New" w:hAnsi="Courier New"/>
          <w:sz w:val="18"/>
        </w:rPr>
        <w:t>insert_message_word</w:t>
      </w:r>
      <w:r>
        <w:rPr>
          <w:b/>
        </w:rPr>
        <w:t>must reflect the order of the data</w:t>
      </w:r>
      <w:r>
        <w:rPr/>
        <w:t xml:space="preserve"> in the payload. Because of this mechanism, the function </w:t>
      </w:r>
      <w:r>
        <w:rPr>
          <w:rFonts w:cs="Courier New" w:ascii="Courier New" w:hAnsi="Courier New"/>
          <w:sz w:val="18"/>
        </w:rPr>
        <w:t>network_message_destroy</w:t>
      </w:r>
      <w:r>
        <w:rPr/>
        <w:t xml:space="preserve"> must be called before creating a new message using the same variable to delete the header and the payload and reset the state of the message.</w:t>
      </w:r>
    </w:p>
    <w:p>
      <w:pPr>
        <w:pStyle w:val="Normal"/>
        <w:jc w:val="both"/>
        <w:rPr/>
      </w:pPr>
      <w:r>
        <w:rPr/>
        <w:t>On the other side, when a message must be received from a socket, the sequence of functions to be used is the following:</w:t>
      </w:r>
    </w:p>
    <w:p>
      <w:pPr>
        <w:pStyle w:val="ListParagraph"/>
        <w:numPr>
          <w:ilvl w:val="0"/>
          <w:numId w:val="28"/>
        </w:numPr>
        <w:jc w:val="both"/>
        <w:rPr>
          <w:rFonts w:ascii="Courier New" w:hAnsi="Courier New" w:cs="Courier New"/>
        </w:rPr>
      </w:pPr>
      <w:r>
        <w:rPr>
          <w:rFonts w:cs="Courier New" w:ascii="Courier New" w:hAnsi="Courier New"/>
          <w:sz w:val="18"/>
        </w:rPr>
        <w:t>network_message_init (NetworkMessage_t *)</w:t>
      </w:r>
    </w:p>
    <w:p>
      <w:pPr>
        <w:pStyle w:val="ListParagraph"/>
        <w:numPr>
          <w:ilvl w:val="0"/>
          <w:numId w:val="28"/>
        </w:numPr>
        <w:jc w:val="both"/>
        <w:rPr>
          <w:rFonts w:ascii="Courier New" w:hAnsi="Courier New" w:cs="Courier New"/>
          <w:sz w:val="18"/>
        </w:rPr>
      </w:pPr>
      <w:r>
        <w:rPr>
          <w:rFonts w:cs="Courier New" w:ascii="Courier New" w:hAnsi="Courier New"/>
          <w:sz w:val="18"/>
        </w:rPr>
        <w:t>receive_message_from_socket (Socket_t *, NetworkMessage_t *)</w:t>
      </w:r>
    </w:p>
    <w:p>
      <w:pPr>
        <w:pStyle w:val="ListParagraph"/>
        <w:numPr>
          <w:ilvl w:val="0"/>
          <w:numId w:val="28"/>
        </w:numPr>
        <w:jc w:val="both"/>
        <w:rPr>
          <w:rFonts w:ascii="Courier New" w:hAnsi="Courier New" w:cs="Courier New"/>
          <w:sz w:val="18"/>
        </w:rPr>
      </w:pPr>
      <w:r>
        <w:rPr>
          <w:rFonts w:cs="Courier New" w:ascii="Courier New" w:hAnsi="Courier New"/>
          <w:sz w:val="18"/>
        </w:rPr>
        <w:t>extract_message_word (NetworkMessage_t *, void *, int)</w:t>
      </w:r>
    </w:p>
    <w:p>
      <w:pPr>
        <w:pStyle w:val="ListParagraph"/>
        <w:numPr>
          <w:ilvl w:val="0"/>
          <w:numId w:val="28"/>
        </w:numPr>
        <w:jc w:val="both"/>
        <w:rPr/>
      </w:pPr>
      <w:r>
        <w:rPr>
          <w:rFonts w:cs="Courier New" w:ascii="Courier New" w:hAnsi="Courier New"/>
          <w:sz w:val="18"/>
        </w:rPr>
        <w:t>network_message_destroy (NetworkMessage_t *)</w:t>
      </w:r>
    </w:p>
    <w:p>
      <w:pPr>
        <w:pStyle w:val="Normal"/>
        <w:jc w:val="both"/>
        <w:rPr>
          <w:rFonts w:cs="Calibri" w:cstheme="minorHAnsi"/>
        </w:rPr>
      </w:pPr>
      <w:r>
        <w:rPr/>
        <w:t xml:space="preserve">Once the message has been received, the function </w:t>
      </w:r>
      <w:r>
        <w:rPr>
          <w:rFonts w:cs="Courier New" w:ascii="Courier New" w:hAnsi="Courier New"/>
          <w:sz w:val="18"/>
        </w:rPr>
        <w:t>extract_message_word</w:t>
      </w:r>
      <w:r>
        <w:rPr/>
        <w:t xml:space="preserve"> is meant to extract a word from the payload using an index. It means that once the message is received, the </w:t>
      </w:r>
      <w:r>
        <w:rPr>
          <w:b/>
        </w:rPr>
        <w:t>words in the payload can be accessed and read in any order</w:t>
      </w:r>
      <w:r>
        <w:rPr/>
        <w:t xml:space="preserve">. Again, the number of words in the payload depends on the type of the message that is received (the type can be accesses using the corresponding field in the data structure) and the message must be reset with </w:t>
      </w:r>
      <w:r>
        <w:rPr>
          <w:rFonts w:cs="Courier New" w:ascii="Courier New" w:hAnsi="Courier New"/>
          <w:sz w:val="18"/>
        </w:rPr>
        <w:t>free_network_message</w:t>
      </w:r>
      <w:r>
        <w:rPr>
          <w:rFonts w:cs="Calibri" w:cstheme="minorHAnsi"/>
        </w:rPr>
        <w:t xml:space="preserve"> before using the same variable to receive a new message.</w:t>
      </w:r>
    </w:p>
    <w:p>
      <w:pPr>
        <w:pStyle w:val="Normal"/>
        <w:jc w:val="both"/>
        <w:rPr>
          <w:rFonts w:cs="Calibri" w:cstheme="minorHAnsi"/>
        </w:rPr>
      </w:pPr>
      <w:r>
        <w:rPr>
          <w:rFonts w:cs="Calibri" w:cstheme="minorHAnsi"/>
        </w:rPr>
        <w:t xml:space="preserve">More details about the usage of the network interface in 3D-ICE can be found in the sources itself or in their documentation. As main reference, the user can follow the two examplesavailable in the </w:t>
      </w:r>
      <w:r>
        <w:rPr>
          <w:rFonts w:cs="Courier New" w:ascii="Courier New" w:hAnsi="Courier New"/>
          <w:sz w:val="18"/>
        </w:rPr>
        <w:t>bin</w:t>
      </w:r>
      <w:r>
        <w:rPr>
          <w:rFonts w:cs="Calibri" w:cstheme="minorHAnsi"/>
        </w:rPr>
        <w:t xml:space="preserve"> folder: </w:t>
      </w:r>
      <w:r>
        <w:rPr>
          <w:rFonts w:cs="Courier New" w:ascii="Courier New" w:hAnsi="Courier New"/>
          <w:sz w:val="18"/>
        </w:rPr>
        <w:t>3D-ICE-Client.c</w:t>
      </w:r>
      <w:r>
        <w:rPr>
          <w:rFonts w:cs="Calibri" w:cstheme="minorHAnsi"/>
        </w:rPr>
        <w:t xml:space="preserve"> and </w:t>
      </w:r>
      <w:r>
        <w:rPr>
          <w:rFonts w:cs="Courier New" w:ascii="Courier New" w:hAnsi="Courier New"/>
          <w:sz w:val="18"/>
        </w:rPr>
        <w:t>3D-ICE-Server.c</w:t>
      </w:r>
      <w:r>
        <w:rPr>
          <w:rFonts w:cs="Calibri" w:cstheme="minorHAnsi"/>
        </w:rPr>
        <w:t>. These two files shows how to establish the communication between a client and a server and how a client can build messages to send to the server a sequence of power traces and get back from the server some information about the thermal state of the simulation.</w:t>
      </w:r>
    </w:p>
    <w:p>
      <w:pPr>
        <w:pStyle w:val="Heading2"/>
        <w:numPr>
          <w:ilvl w:val="0"/>
          <w:numId w:val="20"/>
        </w:numPr>
        <w:rPr/>
      </w:pPr>
      <w:bookmarkStart w:id="122" w:name="__RefHeading___Toc3011_2393532176"/>
      <w:bookmarkStart w:id="123" w:name="_Toc442446465"/>
      <w:bookmarkEnd w:id="122"/>
      <w:bookmarkEnd w:id="123"/>
      <w:r>
        <w:rPr/>
        <w:t>Debugging of ThermalSimulation</w:t>
      </w:r>
    </w:p>
    <w:p>
      <w:pPr>
        <w:pStyle w:val="Normal"/>
        <w:jc w:val="both"/>
        <w:rPr/>
      </w:pPr>
      <w:r>
        <w:rPr/>
        <w:t xml:space="preserve">For the purpose of debugging, several pre-processing options can be enabled to directlycheck the values computed during the construction of thermal data (thermal grid/circuit, system matrices, sources etc) before the simulation even starts. These options can be activated uncommenting the correspondingline in the file </w:t>
      </w:r>
      <w:r>
        <w:rPr>
          <w:rFonts w:cs="Courier New" w:ascii="Courier New" w:hAnsi="Courier New"/>
          <w:sz w:val="18"/>
        </w:rPr>
        <w:t>3d-ice/sources/Makefile</w:t>
      </w:r>
      <w:r>
        <w:rPr/>
        <w:t xml:space="preserve"> and running the </w:t>
      </w:r>
      <w:r>
        <w:rPr>
          <w:rFonts w:cs="Courier New" w:ascii="Courier New" w:hAnsi="Courier New"/>
          <w:sz w:val="18"/>
        </w:rPr>
        <w:t>make</w:t>
      </w:r>
      <w:r>
        <w:rPr/>
        <w:t xml:space="preserve">command again (runthe </w:t>
      </w:r>
      <w:r>
        <w:rPr>
          <w:rFonts w:cs="Courier New" w:ascii="Courier New" w:hAnsi="Courier New"/>
          <w:sz w:val="18"/>
        </w:rPr>
        <w:t>make clean</w:t>
      </w:r>
      <w:r>
        <w:rPr/>
        <w:t xml:space="preserve"> command before building). As a consequence, messages will beredirected to </w:t>
      </w:r>
      <w:r>
        <w:rPr>
          <w:rFonts w:cs="Courier New" w:ascii="Courier New" w:hAnsi="Courier New"/>
          <w:sz w:val="18"/>
        </w:rPr>
        <w:t>stderr</w:t>
      </w:r>
      <w:r>
        <w:rPr/>
        <w:t xml:space="preserve">. </w:t>
      </w:r>
    </w:p>
    <w:p>
      <w:pPr>
        <w:pStyle w:val="Normal"/>
        <w:jc w:val="both"/>
        <w:rPr/>
      </w:pPr>
      <w:r>
        <w:rPr/>
        <w:t>The debug options that are available are:</w:t>
      </w:r>
    </w:p>
    <w:p>
      <w:pPr>
        <w:pStyle w:val="ListParagraph"/>
        <w:numPr>
          <w:ilvl w:val="0"/>
          <w:numId w:val="14"/>
        </w:numPr>
        <w:jc w:val="both"/>
        <w:rPr/>
      </w:pPr>
      <w:r>
        <w:rPr>
          <w:rFonts w:cs="Courier New" w:ascii="Courier New" w:hAnsi="Courier New"/>
          <w:sz w:val="18"/>
        </w:rPr>
        <w:t xml:space="preserve">PRINT_SYSTEM_MATRIX </w:t>
      </w:r>
      <w:r>
        <w:rPr/>
        <w:t>prints the content of the system matrix while it is filled. For every columnin the system matrix (</w:t>
      </w:r>
      <w:r>
        <w:rPr>
          <w:b/>
          <w:i/>
        </w:rPr>
        <w:t>G</w:t>
      </w:r>
      <w:r>
        <w:rPr/>
        <w:t>+</w:t>
      </w:r>
      <w:r>
        <w:rPr>
          <w:b/>
          <w:i/>
        </w:rPr>
        <w:t>C</w:t>
      </w:r>
      <w:r>
        <w:rPr/>
        <w:t>/</w:t>
      </w:r>
      <w:r>
        <w:rPr>
          <w:i/>
        </w:rPr>
        <w:t>h</w:t>
      </w:r>
      <w:r>
        <w:rPr/>
        <w:t xml:space="preserve">, see [1] for more details),it prints the cell ID of the corresponding cell and the list of the nonzero coefficients indicating representing its neighbors. For every neighbor, it also prints the cell ID. </w:t>
      </w:r>
    </w:p>
    <w:p>
      <w:pPr>
        <w:pStyle w:val="ListParagraph"/>
        <w:numPr>
          <w:ilvl w:val="0"/>
          <w:numId w:val="14"/>
        </w:numPr>
        <w:jc w:val="both"/>
        <w:rPr/>
      </w:pPr>
      <w:r>
        <w:rPr>
          <w:rFonts w:cs="Courier New" w:ascii="Courier New" w:hAnsi="Courier New"/>
          <w:sz w:val="18"/>
        </w:rPr>
        <w:t>PRINT_SYSTEM_VECTOR</w:t>
      </w:r>
      <w:r>
        <w:rPr/>
        <w:t xml:space="preserve">prints the content of the system vector (the Thermal state) at every time step. </w:t>
      </w:r>
      <w:r>
        <w:br w:type="page"/>
      </w:r>
    </w:p>
    <w:p>
      <w:pPr>
        <w:pStyle w:val="Heading2"/>
        <w:numPr>
          <w:ilvl w:val="0"/>
          <w:numId w:val="20"/>
        </w:numPr>
        <w:rPr/>
      </w:pPr>
      <w:bookmarkStart w:id="124" w:name="__RefHeading___Toc3013_2393532176"/>
      <w:bookmarkStart w:id="125" w:name="_Toc442446466"/>
      <w:bookmarkEnd w:id="124"/>
      <w:bookmarkEnd w:id="125"/>
      <w:r>
        <w:rPr/>
        <w:t>Binding to SystemC/TLM2.0 Applications</w:t>
      </w:r>
    </w:p>
    <w:p>
      <w:pPr>
        <w:pStyle w:val="Normal"/>
        <w:jc w:val="both"/>
        <w:rPr/>
      </w:pPr>
      <w:r>
        <w:rPr/>
        <w:t>SystemC is a set of C++ classes which can be used to develop event-driven simulations. Transaction-level modeling (TLM) is an approach to modeling digital systems focused in the abstraction of communication between the primary functional blocks within a system. Combined they represent a powerful alternative to create fast and still accurate virtual platforms typically used for performance analysis and architecture exploration.</w:t>
      </w:r>
    </w:p>
    <w:p>
      <w:pPr>
        <w:pStyle w:val="Normal"/>
        <w:jc w:val="both"/>
        <w:rPr/>
      </w:pPr>
      <w:r>
        <w:rPr/>
        <w:t>The 3D-ICE thermal library provides a SystemC/TLM2.0 interface that allows it to be easily integrated into virtual platforms based on those technologies.</w:t>
      </w:r>
    </w:p>
    <w:p>
      <w:pPr>
        <w:pStyle w:val="Normal"/>
        <w:jc w:val="both"/>
        <w:rPr/>
      </w:pPr>
      <w:r>
        <w:rPr/>
        <w:t xml:space="preserve">Users interested in this feature need to install the SystemC 2.3.1 library (which includes TLM2.0) on their systems. The sources can be downloaded from </w:t>
      </w:r>
      <w:hyperlink r:id="rId39">
        <w:r>
          <w:rPr>
            <w:rStyle w:val="InternetLink"/>
            <w:vanish/>
            <w:color w:val="3262B2"/>
          </w:rPr>
          <w:t>http://accellera.org/downloads/standards/systemc</w:t>
        </w:r>
      </w:hyperlink>
      <w:r>
        <w:rPr/>
        <w:t xml:space="preserve">. Installation instructions can be found in the installation notes file contained in the release package. After fulfilling this installation prerequisite, the correct path to the SystemC library and the appropriate architecture (linux or linux64) must properly set in </w:t>
      </w:r>
      <w:r>
        <w:rPr>
          <w:rFonts w:cs="Courier New" w:ascii="Courier New" w:hAnsi="Courier New"/>
          <w:sz w:val="18"/>
          <w:szCs w:val="18"/>
        </w:rPr>
        <w:t>makefile.def</w:t>
      </w:r>
      <w:r>
        <w:rPr/>
        <w:t>. Then a new version version of the 3D-ICE thermal library with enable support to SystemC/TLM2.0 must be compiled.</w:t>
      </w:r>
    </w:p>
    <w:p>
      <w:pPr>
        <w:pStyle w:val="Normal"/>
        <w:ind w:firstLine="720"/>
        <w:jc w:val="both"/>
        <w:rPr>
          <w:rFonts w:ascii="Courier New" w:hAnsi="Courier New" w:cs="Courier New"/>
          <w:sz w:val="18"/>
          <w:szCs w:val="18"/>
        </w:rPr>
      </w:pPr>
      <w:r>
        <w:rPr>
          <w:rFonts w:cs="Courier New" w:ascii="Courier New" w:hAnsi="Courier New"/>
          <w:sz w:val="18"/>
          <w:szCs w:val="18"/>
        </w:rPr>
        <w:t>$ make clean</w:t>
      </w:r>
    </w:p>
    <w:p>
      <w:pPr>
        <w:pStyle w:val="Normal"/>
        <w:ind w:firstLine="720"/>
        <w:jc w:val="both"/>
        <w:rPr>
          <w:rFonts w:ascii="Courier New" w:hAnsi="Courier New" w:cs="Courier New"/>
          <w:sz w:val="18"/>
          <w:szCs w:val="18"/>
        </w:rPr>
      </w:pPr>
      <w:r>
        <w:rPr>
          <w:rFonts w:cs="Courier New" w:ascii="Courier New" w:hAnsi="Courier New"/>
          <w:sz w:val="18"/>
          <w:szCs w:val="18"/>
        </w:rPr>
        <w:t>$ make SYSTEMC_WRAPPER=y</w:t>
      </w:r>
    </w:p>
    <w:p>
      <w:pPr>
        <w:pStyle w:val="Normal"/>
        <w:jc w:val="both"/>
        <w:rPr/>
      </w:pPr>
      <w:r>
        <w:rPr/>
        <w:t xml:space="preserve">The new thermal library can be linked to the user program and the </w:t>
      </w:r>
      <w:r>
        <w:rPr>
          <w:rFonts w:cs="Courier New" w:ascii="Courier New" w:hAnsi="Courier New"/>
          <w:sz w:val="18"/>
          <w:szCs w:val="18"/>
        </w:rPr>
        <w:t>IceWrapper</w:t>
      </w:r>
      <w:r>
        <w:rPr/>
        <w:t xml:space="preserve"> class implemented in </w:t>
      </w:r>
      <w:r>
        <w:rPr>
          <w:rFonts w:cs="Courier New" w:ascii="Courier New" w:hAnsi="Courier New"/>
          <w:sz w:val="18"/>
          <w:szCs w:val="18"/>
        </w:rPr>
        <w:t>include/IceWrapper.h</w:t>
      </w:r>
      <w:r>
        <w:rPr/>
        <w:t xml:space="preserve"> provides the interface between the thermal simulator and the user application. </w:t>
      </w:r>
    </w:p>
    <w:p>
      <w:pPr>
        <w:pStyle w:val="Normal"/>
        <w:jc w:val="both"/>
        <w:rPr/>
      </w:pPr>
      <w:r>
        <w:rPr/>
        <w:t xml:space="preserve">In addition, an extra executable 3D-ICE-SystemC-Client example will be created inside the </w:t>
      </w:r>
      <w:r>
        <w:rPr>
          <w:rFonts w:cs="Courier New" w:ascii="Courier New" w:hAnsi="Courier New"/>
          <w:sz w:val="18"/>
          <w:szCs w:val="18"/>
        </w:rPr>
        <w:t>3d-ice/bin/</w:t>
      </w:r>
      <w:r>
        <w:rPr/>
        <w:t xml:space="preserve"> folder. The source code for this program can be found in the same folder and it serves as a basic example on how to integrate the 3D-ICE thermal library to your SystemC/TLM2.0 based application. To test the program, go to the bin folder execute 3D-ICE-Server and wait until it is ready to receive requests then execute the 3D-ICE-SystemC-Client as presented below:</w:t>
      </w:r>
    </w:p>
    <w:p>
      <w:pPr>
        <w:pStyle w:val="Normal"/>
        <w:ind w:firstLine="720"/>
        <w:jc w:val="both"/>
        <w:rPr>
          <w:rFonts w:ascii="Courier New" w:hAnsi="Courier New" w:cs="Courier New"/>
          <w:sz w:val="18"/>
          <w:szCs w:val="18"/>
        </w:rPr>
      </w:pPr>
      <w:r>
        <w:rPr>
          <w:rFonts w:cs="Courier New" w:ascii="Courier New" w:hAnsi="Courier New"/>
          <w:sz w:val="18"/>
          <w:szCs w:val="18"/>
        </w:rPr>
        <w:t>$ ./3D-ICE-Server stack.stk 12345</w:t>
      </w:r>
    </w:p>
    <w:p>
      <w:pPr>
        <w:pStyle w:val="Normal"/>
        <w:ind w:firstLine="720"/>
        <w:jc w:val="both"/>
        <w:rPr>
          <w:rFonts w:ascii="Courier New" w:hAnsi="Courier New" w:cs="Courier New"/>
          <w:sz w:val="18"/>
          <w:szCs w:val="18"/>
        </w:rPr>
      </w:pPr>
      <w:r>
        <w:rPr>
          <w:rFonts w:cs="Courier New" w:ascii="Courier New" w:hAnsi="Courier New"/>
          <w:sz w:val="18"/>
          <w:szCs w:val="18"/>
        </w:rPr>
        <w:t>$ ./3D-ICE-SystemC-Client 127.0.0.1 12345</w:t>
      </w:r>
    </w:p>
    <w:p>
      <w:pPr>
        <w:pStyle w:val="Normal"/>
        <w:rPr/>
      </w:pPr>
      <w:r>
        <w:rPr/>
      </w:r>
      <w:r>
        <w:br w:type="page"/>
      </w:r>
    </w:p>
    <w:p>
      <w:pPr>
        <w:pStyle w:val="Heading1"/>
        <w:numPr>
          <w:ilvl w:val="0"/>
          <w:numId w:val="2"/>
        </w:numPr>
        <w:rPr/>
      </w:pPr>
      <w:bookmarkStart w:id="126" w:name="__RefHeading___Toc3015_2393532176"/>
      <w:bookmarkStart w:id="127" w:name="_Toc442446467"/>
      <w:bookmarkEnd w:id="126"/>
      <w:bookmarkEnd w:id="127"/>
      <w:r>
        <w:rPr/>
        <w:t>References</w:t>
      </w:r>
    </w:p>
    <w:p>
      <w:pPr>
        <w:pStyle w:val="ListParagraph"/>
        <w:numPr>
          <w:ilvl w:val="0"/>
          <w:numId w:val="23"/>
        </w:numPr>
        <w:jc w:val="both"/>
        <w:rPr/>
      </w:pPr>
      <w:r>
        <w:rPr/>
        <w:t xml:space="preserve">A Sridhar, A Vincenzi, M Ruggiero, T Brunschwiler, D Atienza, "3D-ICE: Fast compact transient thermal modeling for 3D-ICs with inter-tier liquid cooling", </w:t>
      </w:r>
      <w:r>
        <w:rPr>
          <w:i/>
          <w:iCs/>
        </w:rPr>
        <w:t>Proceedings of the 2010 International Conference on Computer-Aided Design (ICCAD 2010)</w:t>
      </w:r>
      <w:r>
        <w:rPr/>
        <w:t xml:space="preserve">, San Jose, CA, USA, November 7-11 2010. </w:t>
      </w:r>
    </w:p>
    <w:p>
      <w:pPr>
        <w:pStyle w:val="ListParagraph"/>
        <w:numPr>
          <w:ilvl w:val="0"/>
          <w:numId w:val="23"/>
        </w:numPr>
        <w:jc w:val="both"/>
        <w:rPr/>
      </w:pPr>
      <w:r>
        <w:rPr/>
        <w:t xml:space="preserve">A Sridhar, A Vincenzi, M Ruggiero, T Brunschwiler, D Atienza, "Compact transient thermal model for 3D ICs with liquid cooling via enhanced heat transfer cavity geometries", </w:t>
      </w:r>
      <w:r>
        <w:rPr>
          <w:i/>
          <w:iCs/>
        </w:rPr>
        <w:t>Proceedings of the 16th International Workshop on Thermal Investigations of ICs and Systems (THERMINIC'10)</w:t>
      </w:r>
      <w:r>
        <w:rPr/>
        <w:t>, Barcelona, Spain, 6-8 October, 2010.</w:t>
      </w:r>
    </w:p>
    <w:p>
      <w:pPr>
        <w:pStyle w:val="ListParagraph"/>
        <w:numPr>
          <w:ilvl w:val="0"/>
          <w:numId w:val="23"/>
        </w:numPr>
        <w:jc w:val="both"/>
        <w:rPr/>
      </w:pPr>
      <w:r>
        <w:rPr/>
        <w:t xml:space="preserve">T Brunschwiler, S Paredes, U Drechsler, B Michel, W Cesar, Y Leblebici, B Wunderle, H Reichl, “Heat-removal performance scaling ofinterlayer cooled chip stacks”, </w:t>
      </w:r>
      <w:r>
        <w:rPr>
          <w:i/>
        </w:rPr>
        <w:t>Proceedings of the 2010 IEEE Intersociety Conference on  Thermal and Thermomechanical Phenomena in Electronic Systems</w:t>
      </w:r>
      <w:r>
        <w:rPr/>
        <w:t xml:space="preserve"> (ITHERM ’10), pp. 1-12, June2010.</w:t>
      </w:r>
    </w:p>
    <w:p>
      <w:pPr>
        <w:pStyle w:val="ListParagraph"/>
        <w:numPr>
          <w:ilvl w:val="0"/>
          <w:numId w:val="23"/>
        </w:numPr>
        <w:jc w:val="both"/>
        <w:rPr/>
      </w:pPr>
      <w:r>
        <w:rPr/>
        <w:t xml:space="preserve">T A Davis and E P Natarajan, “Algorithm 8xx: KLU, adirect sparse solver for circuit simulation problems”, </w:t>
      </w:r>
      <w:r>
        <w:rPr>
          <w:i/>
        </w:rPr>
        <w:t>ACM Transactions on Mathematical Software</w:t>
      </w:r>
      <w:r>
        <w:rPr/>
        <w:t>, vol.5, no.1, pp.1–14, 2010.</w:t>
      </w:r>
    </w:p>
    <w:p>
      <w:pPr>
        <w:pStyle w:val="ListParagraph"/>
        <w:numPr>
          <w:ilvl w:val="0"/>
          <w:numId w:val="23"/>
        </w:numPr>
        <w:jc w:val="both"/>
        <w:rPr/>
      </w:pPr>
      <w:r>
        <w:rPr/>
        <w:t xml:space="preserve">Doxygen, URL:https://www.doxygen.nl/index.html. </w:t>
      </w:r>
    </w:p>
    <w:p>
      <w:pPr>
        <w:pStyle w:val="ListParagraph"/>
        <w:numPr>
          <w:ilvl w:val="0"/>
          <w:numId w:val="23"/>
        </w:numPr>
        <w:jc w:val="both"/>
        <w:rPr/>
      </w:pPr>
      <w:r>
        <w:rPr/>
        <w:t xml:space="preserve">D. Atienza, P. G. Della Valle, G. Paci, F. Poletti and L. Benini, “HW-SW Emulation Framework for Temperature-Aware Design in MPSoCs”, </w:t>
      </w:r>
      <w:r>
        <w:rPr>
          <w:i/>
        </w:rPr>
        <w:t>ACM Transactions on Design Automation for Embedded Systems (TODAES)</w:t>
      </w:r>
      <w:r>
        <w:rPr/>
        <w:t>, vol. 12, no. 3, August, pp. 1 – 26, 2007.</w:t>
      </w:r>
    </w:p>
    <w:p>
      <w:pPr>
        <w:pStyle w:val="ListParagraph"/>
        <w:numPr>
          <w:ilvl w:val="0"/>
          <w:numId w:val="23"/>
        </w:numPr>
        <w:spacing w:before="0" w:after="200"/>
        <w:contextualSpacing/>
        <w:jc w:val="both"/>
        <w:rPr/>
      </w:pPr>
      <w:r>
        <w:rPr/>
        <w:t>Lee, S., Song, S., Au, V., Moran, K., “Constriction/Spreading Resistance Model for Electronics Packaging”, ASME/JSME Thermal Engineering Conf., Vol.4, 1995, pp.199-206.</w:t>
      </w:r>
    </w:p>
    <w:p>
      <w:pPr>
        <w:pStyle w:val="PreformattedText"/>
        <w:numPr>
          <w:ilvl w:val="0"/>
          <w:numId w:val="23"/>
        </w:numPr>
        <w:spacing w:before="0" w:after="200"/>
        <w:contextualSpacing/>
        <w:jc w:val="both"/>
        <w:rPr/>
      </w:pPr>
      <w:r>
        <w:rPr>
          <w:rFonts w:ascii="Calibri" w:hAnsi="Calibri"/>
          <w:sz w:val="22"/>
          <w:szCs w:val="22"/>
        </w:rPr>
        <w:t xml:space="preserve">Cláudio Gomes, Casper Thule, David Broman, Peter Gorm Larsen, and Hans Vangheluwe. 2018. Co-Simulation: A Survey. </w:t>
      </w:r>
      <w:r>
        <w:rPr>
          <w:rFonts w:ascii="Calibri" w:hAnsi="Calibri"/>
          <w:i/>
          <w:sz w:val="22"/>
          <w:szCs w:val="22"/>
        </w:rPr>
        <w:t>ACM Comput. Surv.</w:t>
      </w:r>
      <w:r>
        <w:rPr>
          <w:rFonts w:ascii="Calibri" w:hAnsi="Calibri"/>
          <w:sz w:val="22"/>
          <w:szCs w:val="22"/>
        </w:rPr>
        <w:t xml:space="preserve"> 51, 3, Article 49 (July 2018), 33 pages. DOI:</w:t>
      </w:r>
      <w:r>
        <w:rPr>
          <w:rStyle w:val="InternetLink"/>
          <w:rFonts w:ascii="Calibri" w:hAnsi="Calibri"/>
          <w:sz w:val="22"/>
          <w:szCs w:val="22"/>
        </w:rPr>
        <w:t>https://doi.org/10.1145/3179993</w:t>
      </w:r>
    </w:p>
    <w:p>
      <w:pPr>
        <w:pStyle w:val="PreformattedText"/>
        <w:numPr>
          <w:ilvl w:val="0"/>
          <w:numId w:val="23"/>
        </w:numPr>
        <w:spacing w:before="0" w:after="200"/>
        <w:contextualSpacing/>
        <w:jc w:val="both"/>
        <w:rPr/>
      </w:pPr>
      <w:r>
        <w:rPr>
          <w:rFonts w:ascii="Calibri" w:hAnsi="Calibri"/>
          <w:sz w:val="22"/>
          <w:szCs w:val="22"/>
        </w:rPr>
        <w:t>F. E. Cellier and E. Kofman, Continuous system simulation. Springer Science &amp; Business Media, 2006.</w:t>
      </w:r>
    </w:p>
    <w:p>
      <w:pPr>
        <w:pStyle w:val="PreformattedText"/>
        <w:numPr>
          <w:ilvl w:val="0"/>
          <w:numId w:val="23"/>
        </w:numPr>
        <w:spacing w:before="0" w:after="200"/>
        <w:contextualSpacing/>
        <w:jc w:val="both"/>
        <w:rPr/>
      </w:pPr>
      <w:r>
        <w:rPr>
          <w:rFonts w:ascii="Calibri" w:hAnsi="Calibri"/>
          <w:sz w:val="22"/>
          <w:szCs w:val="22"/>
        </w:rPr>
        <w:t>F. Terraneo, A. Leva, W. Fornaciari, M. Zapater, D. Atienza, “3D-ICE 3.0: efficient nonlinear MPSoC thermal simulation with pluggable heat sink models”, Transactions on Computer-Aided Design of Integrated Circuits and Systems Volume 40 pp. 1-14, 2021-04-19</w:t>
      </w:r>
    </w:p>
    <w:sectPr>
      <w:footerReference w:type="default" r:id="rId40"/>
      <w:footnotePr>
        <w:numFmt w:val="decimal"/>
      </w:footnotePr>
      <w:type w:val="nextPage"/>
      <w:pgSz w:w="12240" w:h="15840"/>
      <w:pgMar w:left="1440" w:right="1440" w:gutter="0" w:header="0" w:top="1440" w:footer="720" w:bottom="1440"/>
      <w:pgNumType w:start="0"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mbria">
    <w:charset w:val="00"/>
    <w:family w:val="roman"/>
    <w:pitch w:val="variable"/>
  </w:font>
  <w:font w:name="Tahoma">
    <w:charset w:val="00"/>
    <w:family w:val="roman"/>
    <w:pitch w:val="variable"/>
  </w:font>
  <w:font w:name="OpenSymbol">
    <w:altName w:val="Arial Unicode MS"/>
    <w:charset w:val="00"/>
    <w:family w:val="roman"/>
    <w:pitch w:val="variable"/>
  </w:font>
  <w:font w:name="Liberation Sans">
    <w:altName w:val="Arial"/>
    <w:charset w:val="00"/>
    <w:family w:val="roman"/>
    <w:pitch w:val="variable"/>
  </w:font>
  <w:font w:name="Liberation Mono">
    <w:altName w:val="Courier New"/>
    <w:charset w:val="00"/>
    <w:family w:val="roman"/>
    <w:pitch w:val="variable"/>
  </w:font>
  <w:font w:name="Arial">
    <w:charset w:val="00"/>
    <w:family w:val="roman"/>
    <w:pitch w:val="variable"/>
  </w:font>
  <w:font w:name="Courier New">
    <w:charset w:val="00"/>
    <w:family w:val="roman"/>
    <w:pitch w:val="variable"/>
  </w:font>
  <w:font w:name="Courier new">
    <w:charset w:val="00"/>
    <w:family w:val="roman"/>
    <w:pitch w:val="variable"/>
  </w:font>
  <w:font w:name="DejaVu Sans Mono">
    <w:charset w:val="00"/>
    <w:family w:val="roman"/>
    <w:pitch w:val="variable"/>
  </w:font>
  <w:font w:name="Couruer new">
    <w:charset w:val="00"/>
    <w:family w:val="roman"/>
    <w:pitch w:val="variable"/>
  </w:font>
  <w:font w:name="Wingdings">
    <w:charset w:val="02"/>
    <w:family w:val="auto"/>
    <w:pitch w:val="variable"/>
  </w:font>
  <w:font w:name="Courier New">
    <w:charset w:val="01"/>
    <w:family w:val="modern"/>
    <w:pitch w:val="fixed"/>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904150536"/>
    </w:sdtPr>
    <w:sdtContent>
      <w:p>
        <w:pPr>
          <w:pStyle w:val="Footer"/>
          <w:jc w:val="center"/>
          <w:rPr/>
        </w:pPr>
        <w:r>
          <w:rPr/>
          <w:fldChar w:fldCharType="begin"/>
        </w:r>
        <w:r>
          <w:rPr/>
          <w:instrText> PAGE </w:instrText>
        </w:r>
        <w:r>
          <w:rPr/>
          <w:fldChar w:fldCharType="separate"/>
        </w:r>
        <w:r>
          <w:rPr/>
          <w:t>3</w:t>
        </w:r>
        <w:r>
          <w:rPr/>
          <w:fldChar w:fldCharType="end"/>
        </w:r>
      </w:p>
    </w:sdtContent>
  </w:sdt>
  <w:p>
    <w:pPr>
      <w:pStyle w:val="Footer"/>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p>
  </w:footnote>
  <w:footnote w:id="1" w:type="continuationSeparator">
    <w:p>
      <w:pPr>
        <w:rPr>
          <w:sz w:val="12"/>
        </w:rPr>
      </w:pPr>
      <w:r/>
    </w:p>
  </w:footnote>
  <w:footnote w:id="2">
    <w:p>
      <w:pPr>
        <w:pStyle w:val="Footnote"/>
        <w:widowControl w:val="false"/>
        <w:spacing w:before="0" w:after="200"/>
        <w:rPr/>
      </w:pPr>
      <w:r>
        <w:rPr>
          <w:rStyle w:val="FootnoteCharacters"/>
        </w:rPr>
        <w:footnoteRef/>
      </w:r>
      <w:r>
        <w:rPr>
          <w:rStyle w:val="FootnoteCharacters"/>
        </w:rPr>
        <w:tab/>
        <w:t xml:space="preserve"> </w:t>
      </w:r>
      <w:r>
        <w:rPr/>
        <w:drawing>
          <wp:anchor behindDoc="0" distT="0" distB="0" distL="0" distR="0" simplePos="0" locked="0" layoutInCell="0" allowOverlap="1" relativeHeight="60">
            <wp:simplePos x="0" y="0"/>
            <wp:positionH relativeFrom="column">
              <wp:posOffset>4157980</wp:posOffset>
            </wp:positionH>
            <wp:positionV relativeFrom="paragraph">
              <wp:posOffset>-1369060</wp:posOffset>
            </wp:positionV>
            <wp:extent cx="1270635" cy="450850"/>
            <wp:effectExtent l="0" t="0" r="0" b="0"/>
            <wp:wrapSquare wrapText="largest"/>
            <wp:docPr id="5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9" descr=""/>
                    <pic:cNvPicPr>
                      <a:picLocks noChangeAspect="1" noChangeArrowheads="1"/>
                    </pic:cNvPicPr>
                  </pic:nvPicPr>
                  <pic:blipFill>
                    <a:blip r:embed="rId1"/>
                    <a:stretch>
                      <a:fillRect/>
                    </a:stretch>
                  </pic:blipFill>
                  <pic:spPr bwMode="auto">
                    <a:xfrm>
                      <a:off x="0" y="0"/>
                      <a:ext cx="1270635" cy="450850"/>
                    </a:xfrm>
                    <a:prstGeom prst="rect">
                      <a:avLst/>
                    </a:prstGeom>
                  </pic:spPr>
                </pic:pic>
              </a:graphicData>
            </a:graphic>
          </wp:anchor>
        </w:drawing>
      </w:r>
      <w:r>
        <w:rPr/>
        <w:t>Embedded Systems Laboratory, Department of Electrical Engineering, EPFL, Lausanne, Switzerland.</w:t>
      </w:r>
    </w:p>
  </w:footnote>
  <w:footnote w:id="3">
    <w:p>
      <w:pPr>
        <w:pStyle w:val="Footnote"/>
        <w:widowControl w:val="false"/>
        <w:spacing w:before="0" w:after="200"/>
        <w:jc w:val="both"/>
        <w:rPr/>
      </w:pPr>
      <w:r>
        <w:rPr>
          <w:rStyle w:val="FootnoteCharacters"/>
        </w:rPr>
        <w:footnoteRef/>
      </w:r>
      <w:r>
        <w:rPr>
          <w:rStyle w:val="FootnoteCharacters"/>
        </w:rPr>
        <w:tab/>
        <w:t xml:space="preserve"> </w:t>
      </w:r>
      <w:r>
        <w:rPr/>
        <w:t>Advanced Thermal Packaging Group, IBM Research Laboratory, Zurich, Switzerland.</w:t>
      </w:r>
    </w:p>
  </w:footnote>
  <w:footnote w:id="4">
    <w:p>
      <w:pPr>
        <w:pStyle w:val="Footnote"/>
        <w:widowControl w:val="false"/>
        <w:spacing w:before="0" w:after="200"/>
        <w:rPr/>
      </w:pPr>
      <w:r>
        <w:rPr>
          <w:rStyle w:val="FootnoteCharacters"/>
        </w:rPr>
        <w:footnoteRef/>
      </w:r>
      <w:r>
        <w:rPr>
          <w:rStyle w:val="FootnoteCharacters"/>
        </w:rPr>
        <w:tab/>
        <w:t xml:space="preserve"> </w:t>
      </w:r>
      <w:r>
        <w:rPr/>
        <w:t>Microelectronic Systems Design Research Group, University of Kaiserslautern, Kaiserslautern, Germany.</w:t>
      </w:r>
    </w:p>
  </w:footnote>
  <w:footnote w:id="5">
    <w:p>
      <w:pPr>
        <w:pStyle w:val="Footnote"/>
        <w:widowControl w:val="false"/>
        <w:spacing w:before="0" w:after="200"/>
        <w:rPr/>
      </w:pPr>
      <w:r>
        <w:rPr>
          <w:rStyle w:val="FootnoteCharacters"/>
        </w:rPr>
        <w:footnoteRef/>
      </w:r>
      <w:r>
        <w:rPr>
          <w:rStyle w:val="FootnoteCharacters"/>
        </w:rPr>
        <w:tab/>
        <w:t xml:space="preserve"> </w:t>
      </w:r>
      <w:r>
        <w:rPr/>
        <w:t>Dipartimento di Elettronica, Informazione e Bioingegneria, Politecnico di Milano, Milano, Italy.</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
    <w:lvl w:ilvl="0">
      <w:start w:val="1"/>
      <w:numFmt w:val="upp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lvl w:ilvl="0">
      <w:start w:val="1"/>
      <w:numFmt w:val="bullet"/>
      <w:lvlText w:val=""/>
      <w:lvlJc w:val="left"/>
      <w:pPr>
        <w:tabs>
          <w:tab w:val="num" w:pos="0"/>
        </w:tabs>
        <w:ind w:left="720" w:hanging="360"/>
      </w:pPr>
      <w:rPr>
        <w:rFonts w:ascii="Wingdings" w:hAnsi="Wingdings" w:cs="Wingdings"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lvl w:ilvl="0">
      <w:start w:val="1"/>
      <w:numFmt w:val="bullet"/>
      <w:lvlText w:val=""/>
      <w:lvlJc w:val="left"/>
      <w:pPr>
        <w:tabs>
          <w:tab w:val="num" w:pos="0"/>
        </w:tabs>
        <w:ind w:left="720" w:hanging="360"/>
      </w:pPr>
      <w:rPr>
        <w:rFonts w:ascii="Wingdings" w:hAnsi="Wingdings" w:cs="Wingdings"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lvl w:ilvl="0">
      <w:start w:val="1"/>
      <w:numFmt w:val="bullet"/>
      <w:lvlText w:val=""/>
      <w:lvlJc w:val="left"/>
      <w:pPr>
        <w:tabs>
          <w:tab w:val="num" w:pos="0"/>
        </w:tabs>
        <w:ind w:left="720" w:hanging="360"/>
      </w:pPr>
      <w:rPr>
        <w:rFonts w:ascii="Wingdings" w:hAnsi="Wingdings" w:cs="Wingdings"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lvl w:ilvl="0">
      <w:start w:val="1"/>
      <w:numFmt w:val="upp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9">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lvl w:ilvl="0">
      <w:start w:val="1"/>
      <w:numFmt w:val="upp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1">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lvl w:ilvl="0">
      <w:start w:val="1"/>
      <w:numFmt w:val="low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lvl w:ilvl="0">
      <w:start w:val="1"/>
      <w:numFmt w:val="decimal"/>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lvl w:ilvl="0">
      <w:start w:val="1"/>
      <w:numFmt w:val="upp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7">
    <w:lvl w:ilvl="0">
      <w:start w:val="1"/>
      <w:numFmt w:val="bullet"/>
      <w:lvlText w:val=""/>
      <w:lvlJc w:val="left"/>
      <w:pPr>
        <w:tabs>
          <w:tab w:val="num" w:pos="0"/>
        </w:tabs>
        <w:ind w:left="720" w:hanging="360"/>
      </w:pPr>
      <w:rPr>
        <w:rFonts w:ascii="Wingdings" w:hAnsi="Wingdings" w:cs="Wingdings" w:hint="default"/>
        <w:sz w:val="18"/>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lvl w:ilvl="0">
      <w:start w:val="1"/>
      <w:numFmt w:val="bullet"/>
      <w:lvlText w:val=""/>
      <w:lvlJc w:val="left"/>
      <w:pPr>
        <w:tabs>
          <w:tab w:val="num" w:pos="0"/>
        </w:tabs>
        <w:ind w:left="720" w:hanging="360"/>
      </w:pPr>
      <w:rPr>
        <w:rFonts w:ascii="Wingdings" w:hAnsi="Wingdings" w:cs="Wingdings" w:hint="default"/>
        <w:sz w:val="18"/>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0">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31">
    <w:lvl w:ilvl="0">
      <w:start w:val="1"/>
      <w:numFmt w:val="bullet"/>
      <w:lvlText w:val=""/>
      <w:lvlJc w:val="left"/>
      <w:pPr>
        <w:tabs>
          <w:tab w:val="num" w:pos="0"/>
        </w:tabs>
        <w:ind w:left="720" w:hanging="360"/>
      </w:pPr>
      <w:rPr>
        <w:rFonts w:ascii="Wingdings" w:hAnsi="Wingdings" w:cs="Wingdings"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3">
    <w:lvl w:ilvl="0">
      <w:start w:val="1"/>
      <w:numFmt w:val="bullet"/>
      <w:lvlText w:val=""/>
      <w:lvlJc w:val="left"/>
      <w:pPr>
        <w:tabs>
          <w:tab w:val="num" w:pos="720"/>
        </w:tabs>
        <w:ind w:left="720" w:hanging="360"/>
      </w:pPr>
      <w:rPr>
        <w:rFonts w:ascii="Symbol" w:hAnsi="Symbol" w:cs="Symbol" w:hint="default"/>
        <w:sz w:val="18"/>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lvl w:ilvl="0">
      <w:start w:val="1"/>
      <w:numFmt w:val="bullet"/>
      <w:lvlText w:val=""/>
      <w:lvlJc w:val="left"/>
      <w:pPr>
        <w:tabs>
          <w:tab w:val="num" w:pos="720"/>
        </w:tabs>
        <w:ind w:left="720" w:hanging="360"/>
      </w:pPr>
      <w:rPr>
        <w:rFonts w:ascii="Symbol" w:hAnsi="Symbol" w:cs="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lvl w:ilvl="0">
      <w:start w:val="1"/>
      <w:numFmt w:val="bullet"/>
      <w:lvlText w:val=""/>
      <w:lvlJc w:val="left"/>
      <w:pPr>
        <w:tabs>
          <w:tab w:val="num" w:pos="720"/>
        </w:tabs>
        <w:ind w:left="720" w:hanging="360"/>
      </w:pPr>
      <w:rPr>
        <w:rFonts w:ascii="Symbol" w:hAnsi="Symbol" w:cs="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lvl w:ilvl="0">
      <w:start w:val="1"/>
      <w:numFmt w:val="bullet"/>
      <w:lvlText w:val=""/>
      <w:lvlJc w:val="left"/>
      <w:pPr>
        <w:tabs>
          <w:tab w:val="num" w:pos="921"/>
        </w:tabs>
        <w:ind w:left="921" w:hanging="360"/>
      </w:pPr>
      <w:rPr>
        <w:rFonts w:ascii="Symbol" w:hAnsi="Symbol" w:cs="Symbol" w:hint="default"/>
        <w:sz w:val="22"/>
      </w:rPr>
    </w:lvl>
    <w:lvl w:ilvl="1">
      <w:start w:val="1"/>
      <w:numFmt w:val="bullet"/>
      <w:lvlText w:val="◦"/>
      <w:lvlJc w:val="left"/>
      <w:pPr>
        <w:tabs>
          <w:tab w:val="num" w:pos="1281"/>
        </w:tabs>
        <w:ind w:left="1281" w:hanging="360"/>
      </w:pPr>
      <w:rPr>
        <w:rFonts w:ascii="OpenSymbol" w:hAnsi="OpenSymbol" w:cs="OpenSymbol" w:hint="default"/>
      </w:rPr>
    </w:lvl>
    <w:lvl w:ilvl="2">
      <w:start w:val="1"/>
      <w:numFmt w:val="bullet"/>
      <w:lvlText w:val="▪"/>
      <w:lvlJc w:val="left"/>
      <w:pPr>
        <w:tabs>
          <w:tab w:val="num" w:pos="1641"/>
        </w:tabs>
        <w:ind w:left="1641" w:hanging="360"/>
      </w:pPr>
      <w:rPr>
        <w:rFonts w:ascii="OpenSymbol" w:hAnsi="OpenSymbol" w:cs="OpenSymbol" w:hint="default"/>
      </w:rPr>
    </w:lvl>
    <w:lvl w:ilvl="3">
      <w:start w:val="1"/>
      <w:numFmt w:val="bullet"/>
      <w:lvlText w:val=""/>
      <w:lvlJc w:val="left"/>
      <w:pPr>
        <w:tabs>
          <w:tab w:val="num" w:pos="2001"/>
        </w:tabs>
        <w:ind w:left="2001" w:hanging="360"/>
      </w:pPr>
      <w:rPr>
        <w:rFonts w:ascii="Symbol" w:hAnsi="Symbol" w:cs="Symbol" w:hint="default"/>
      </w:rPr>
    </w:lvl>
    <w:lvl w:ilvl="4">
      <w:start w:val="1"/>
      <w:numFmt w:val="bullet"/>
      <w:lvlText w:val="◦"/>
      <w:lvlJc w:val="left"/>
      <w:pPr>
        <w:tabs>
          <w:tab w:val="num" w:pos="2361"/>
        </w:tabs>
        <w:ind w:left="2361" w:hanging="360"/>
      </w:pPr>
      <w:rPr>
        <w:rFonts w:ascii="OpenSymbol" w:hAnsi="OpenSymbol" w:cs="OpenSymbol" w:hint="default"/>
      </w:rPr>
    </w:lvl>
    <w:lvl w:ilvl="5">
      <w:start w:val="1"/>
      <w:numFmt w:val="bullet"/>
      <w:lvlText w:val="▪"/>
      <w:lvlJc w:val="left"/>
      <w:pPr>
        <w:tabs>
          <w:tab w:val="num" w:pos="2721"/>
        </w:tabs>
        <w:ind w:left="2721" w:hanging="360"/>
      </w:pPr>
      <w:rPr>
        <w:rFonts w:ascii="OpenSymbol" w:hAnsi="OpenSymbol" w:cs="OpenSymbol" w:hint="default"/>
      </w:rPr>
    </w:lvl>
    <w:lvl w:ilvl="6">
      <w:start w:val="1"/>
      <w:numFmt w:val="bullet"/>
      <w:lvlText w:val=""/>
      <w:lvlJc w:val="left"/>
      <w:pPr>
        <w:tabs>
          <w:tab w:val="num" w:pos="3081"/>
        </w:tabs>
        <w:ind w:left="3081" w:hanging="360"/>
      </w:pPr>
      <w:rPr>
        <w:rFonts w:ascii="Symbol" w:hAnsi="Symbol" w:cs="Symbol" w:hint="default"/>
      </w:rPr>
    </w:lvl>
    <w:lvl w:ilvl="7">
      <w:start w:val="1"/>
      <w:numFmt w:val="bullet"/>
      <w:lvlText w:val="◦"/>
      <w:lvlJc w:val="left"/>
      <w:pPr>
        <w:tabs>
          <w:tab w:val="num" w:pos="3441"/>
        </w:tabs>
        <w:ind w:left="3441" w:hanging="360"/>
      </w:pPr>
      <w:rPr>
        <w:rFonts w:ascii="OpenSymbol" w:hAnsi="OpenSymbol" w:cs="OpenSymbol" w:hint="default"/>
      </w:rPr>
    </w:lvl>
    <w:lvl w:ilvl="8">
      <w:start w:val="1"/>
      <w:numFmt w:val="bullet"/>
      <w:lvlText w:val="▪"/>
      <w:lvlJc w:val="left"/>
      <w:pPr>
        <w:tabs>
          <w:tab w:val="num" w:pos="3801"/>
        </w:tabs>
        <w:ind w:left="3801" w:hanging="360"/>
      </w:pPr>
      <w:rPr>
        <w:rFonts w:ascii="OpenSymbol" w:hAnsi="OpenSymbol" w:cs="OpenSymbol" w:hint="default"/>
      </w:rPr>
    </w:lvl>
  </w:abstractNum>
  <w:abstractNum w:abstractNumId="3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bering>
</file>

<file path=word/settings.xml><?xml version="1.0" encoding="utf-8"?>
<w:settings xmlns:w="http://schemas.openxmlformats.org/wordprocessingml/2006/main">
  <w:zoom w:percent="130"/>
  <w:defaultTabStop w:val="720"/>
  <w:autoHyphenation w:val="true"/>
  <w:footnotePr>
    <w:numFmt w:val="decimal"/>
    <w:footnote w:id="0"/>
    <w:footnote w:id="1"/>
  </w:footnotePr>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en-US" w:eastAsia="en-US" w:bidi="ar-SA"/>
      </w:rPr>
    </w:rPrDefault>
    <w:pPrDefault>
      <w:pPr>
        <w:suppressAutoHyphens w:val="true"/>
      </w:pPr>
    </w:pPrDefault>
  </w:docDefaults>
  <w:latentStyles w:defLockedState="0" w:defUIPriority="99" w:defSemiHidden="0" w:defUnhideWhenUsed="0" w:defQFormat="0" w:count="380">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822913"/>
    <w:pPr>
      <w:widowControl/>
      <w:suppressAutoHyphens w:val="true"/>
      <w:bidi w:val="0"/>
      <w:spacing w:lineRule="auto" w:line="276" w:before="0" w:after="200"/>
      <w:jc w:val="left"/>
    </w:pPr>
    <w:rPr>
      <w:rFonts w:ascii="Calibri" w:hAnsi="Calibri" w:eastAsia="Calibri" w:cs="" w:asciiTheme="minorHAnsi" w:cstheme="minorBidi" w:eastAsiaTheme="minorHAnsi" w:hAnsiTheme="minorHAnsi"/>
      <w:color w:val="00000A"/>
      <w:kern w:val="0"/>
      <w:sz w:val="22"/>
      <w:szCs w:val="22"/>
      <w:lang w:val="en-US" w:eastAsia="en-US" w:bidi="ar-SA"/>
    </w:rPr>
  </w:style>
  <w:style w:type="paragraph" w:styleId="Heading1">
    <w:name w:val="Heading 1"/>
    <w:basedOn w:val="Normal"/>
    <w:link w:val="berschrift1Zchn"/>
    <w:uiPriority w:val="9"/>
    <w:qFormat/>
    <w:rsid w:val="00ce23b3"/>
    <w:pPr>
      <w:keepNext w:val="true"/>
      <w:keepLines/>
      <w:spacing w:before="480" w:after="0"/>
      <w:outlineLvl w:val="0"/>
    </w:pPr>
    <w:rPr>
      <w:rFonts w:ascii="Cambria" w:hAnsi="Cambria" w:eastAsia="" w:cs="" w:asciiTheme="majorHAnsi" w:cstheme="majorBidi" w:eastAsiaTheme="majorEastAsia" w:hAnsiTheme="majorHAnsi"/>
      <w:b/>
      <w:bCs/>
      <w:color w:val="C00000"/>
      <w:sz w:val="40"/>
      <w:szCs w:val="28"/>
    </w:rPr>
  </w:style>
  <w:style w:type="paragraph" w:styleId="Heading2">
    <w:name w:val="Heading 2"/>
    <w:basedOn w:val="Normal"/>
    <w:link w:val="berschrift2Zchn"/>
    <w:uiPriority w:val="9"/>
    <w:unhideWhenUsed/>
    <w:qFormat/>
    <w:rsid w:val="00ce23b3"/>
    <w:pPr>
      <w:keepNext w:val="true"/>
      <w:keepLines/>
      <w:spacing w:before="200" w:after="0"/>
      <w:outlineLvl w:val="1"/>
    </w:pPr>
    <w:rPr>
      <w:rFonts w:ascii="Cambria" w:hAnsi="Cambria" w:eastAsia="" w:cs="" w:asciiTheme="majorHAnsi" w:cstheme="majorBidi" w:eastAsiaTheme="majorEastAsia" w:hAnsiTheme="majorHAnsi"/>
      <w:b/>
      <w:bCs/>
      <w:color w:val="C00000"/>
      <w:sz w:val="28"/>
      <w:szCs w:val="26"/>
    </w:rPr>
  </w:style>
  <w:style w:type="paragraph" w:styleId="Heading3">
    <w:name w:val="Heading 3"/>
    <w:basedOn w:val="Normal"/>
    <w:link w:val="berschrift3Zchn"/>
    <w:uiPriority w:val="9"/>
    <w:unhideWhenUsed/>
    <w:qFormat/>
    <w:rsid w:val="00ce23b3"/>
    <w:pPr>
      <w:keepNext w:val="true"/>
      <w:keepLines/>
      <w:spacing w:before="200" w:after="0"/>
      <w:outlineLvl w:val="2"/>
    </w:pPr>
    <w:rPr>
      <w:rFonts w:ascii="Cambria" w:hAnsi="Cambria" w:eastAsia="" w:cs="" w:asciiTheme="majorHAnsi" w:cstheme="majorBidi" w:eastAsiaTheme="majorEastAsia" w:hAnsiTheme="majorHAnsi"/>
      <w:b/>
      <w:bCs/>
      <w:color w:val="C00000"/>
    </w:rPr>
  </w:style>
  <w:style w:type="paragraph" w:styleId="Heading4">
    <w:name w:val="Heading 4"/>
    <w:basedOn w:val="Normal"/>
    <w:link w:val="berschrift4Zchn"/>
    <w:uiPriority w:val="9"/>
    <w:unhideWhenUsed/>
    <w:qFormat/>
    <w:rsid w:val="00ef297f"/>
    <w:pPr>
      <w:keepNext w:val="true"/>
      <w:keepLines/>
      <w:spacing w:before="200" w:after="0"/>
      <w:outlineLvl w:val="3"/>
    </w:pPr>
    <w:rPr>
      <w:rFonts w:ascii="Cambria" w:hAnsi="Cambria" w:eastAsia="" w:cs="" w:asciiTheme="majorHAnsi" w:cstheme="majorBidi" w:eastAsiaTheme="majorEastAsia" w:hAnsiTheme="majorHAnsi"/>
      <w:b/>
      <w:bCs/>
      <w:i/>
      <w:iCs/>
      <w:color w:val="800000"/>
    </w:rPr>
  </w:style>
  <w:style w:type="character" w:styleId="DefaultParagraphFont" w:default="1">
    <w:name w:val="Default Paragraph Font"/>
    <w:uiPriority w:val="1"/>
    <w:semiHidden/>
    <w:unhideWhenUsed/>
    <w:qFormat/>
    <w:rPr/>
  </w:style>
  <w:style w:type="character" w:styleId="KeinLeerraumZchn" w:customStyle="1">
    <w:name w:val="Kein Leerraum Zchn"/>
    <w:basedOn w:val="DefaultParagraphFont"/>
    <w:link w:val="KeinLeerraum"/>
    <w:uiPriority w:val="1"/>
    <w:qFormat/>
    <w:rsid w:val="00901994"/>
    <w:rPr>
      <w:rFonts w:eastAsia="" w:eastAsiaTheme="minorEastAsia"/>
      <w:lang w:eastAsia="ja-JP"/>
    </w:rPr>
  </w:style>
  <w:style w:type="character" w:styleId="SprechblasentextZchn" w:customStyle="1">
    <w:name w:val="Sprechblasentext Zchn"/>
    <w:basedOn w:val="DefaultParagraphFont"/>
    <w:link w:val="Sprechblasentext"/>
    <w:uiPriority w:val="99"/>
    <w:semiHidden/>
    <w:qFormat/>
    <w:rsid w:val="00901994"/>
    <w:rPr>
      <w:rFonts w:ascii="Tahoma" w:hAnsi="Tahoma" w:cs="Tahoma"/>
      <w:sz w:val="16"/>
      <w:szCs w:val="16"/>
    </w:rPr>
  </w:style>
  <w:style w:type="character" w:styleId="Berschrift1Zchn" w:customStyle="1">
    <w:name w:val="Überschrift 1 Zchn"/>
    <w:basedOn w:val="DefaultParagraphFont"/>
    <w:link w:val="berschrift1"/>
    <w:uiPriority w:val="9"/>
    <w:qFormat/>
    <w:rsid w:val="00ce23b3"/>
    <w:rPr>
      <w:rFonts w:ascii="Cambria" w:hAnsi="Cambria" w:eastAsia="" w:cs="" w:asciiTheme="majorHAnsi" w:cstheme="majorBidi" w:eastAsiaTheme="majorEastAsia" w:hAnsiTheme="majorHAnsi"/>
      <w:b/>
      <w:bCs/>
      <w:color w:val="C00000"/>
      <w:sz w:val="40"/>
      <w:szCs w:val="28"/>
    </w:rPr>
  </w:style>
  <w:style w:type="character" w:styleId="InternetLink">
    <w:name w:val="Hyperlink"/>
    <w:basedOn w:val="DefaultParagraphFont"/>
    <w:uiPriority w:val="99"/>
    <w:unhideWhenUsed/>
    <w:rsid w:val="009d1124"/>
    <w:rPr>
      <w:color w:val="0000FF" w:themeColor="hyperlink"/>
      <w:u w:val="single"/>
    </w:rPr>
  </w:style>
  <w:style w:type="character" w:styleId="UntertitelZchn" w:customStyle="1">
    <w:name w:val="Untertitel Zchn"/>
    <w:basedOn w:val="DefaultParagraphFont"/>
    <w:link w:val="Untertitel"/>
    <w:uiPriority w:val="11"/>
    <w:qFormat/>
    <w:rsid w:val="009d1124"/>
    <w:rPr>
      <w:rFonts w:ascii="Cambria" w:hAnsi="Cambria" w:eastAsia="" w:cs="" w:asciiTheme="majorHAnsi" w:cstheme="majorBidi" w:eastAsiaTheme="majorEastAsia" w:hAnsiTheme="majorHAnsi"/>
      <w:i/>
      <w:iCs/>
      <w:color w:val="4F81BD" w:themeColor="accent1"/>
      <w:spacing w:val="15"/>
      <w:sz w:val="24"/>
      <w:szCs w:val="24"/>
    </w:rPr>
  </w:style>
  <w:style w:type="character" w:styleId="SubtleEmphasis">
    <w:name w:val="Subtle Emphasis"/>
    <w:basedOn w:val="DefaultParagraphFont"/>
    <w:uiPriority w:val="19"/>
    <w:qFormat/>
    <w:rsid w:val="009d1124"/>
    <w:rPr>
      <w:i/>
      <w:iCs/>
      <w:color w:val="808080" w:themeColor="text1" w:themeTint="7f"/>
    </w:rPr>
  </w:style>
  <w:style w:type="character" w:styleId="Berschrift2Zchn" w:customStyle="1">
    <w:name w:val="Überschrift 2 Zchn"/>
    <w:basedOn w:val="DefaultParagraphFont"/>
    <w:link w:val="berschrift2"/>
    <w:uiPriority w:val="9"/>
    <w:qFormat/>
    <w:rsid w:val="00ce23b3"/>
    <w:rPr>
      <w:rFonts w:ascii="Cambria" w:hAnsi="Cambria" w:eastAsia="" w:cs="" w:asciiTheme="majorHAnsi" w:cstheme="majorBidi" w:eastAsiaTheme="majorEastAsia" w:hAnsiTheme="majorHAnsi"/>
      <w:b/>
      <w:bCs/>
      <w:color w:val="C00000"/>
      <w:sz w:val="28"/>
      <w:szCs w:val="26"/>
    </w:rPr>
  </w:style>
  <w:style w:type="character" w:styleId="Berschrift3Zchn" w:customStyle="1">
    <w:name w:val="Überschrift 3 Zchn"/>
    <w:basedOn w:val="DefaultParagraphFont"/>
    <w:link w:val="berschrift3"/>
    <w:uiPriority w:val="9"/>
    <w:qFormat/>
    <w:rsid w:val="00ce23b3"/>
    <w:rPr>
      <w:rFonts w:ascii="Cambria" w:hAnsi="Cambria" w:eastAsia="" w:cs="" w:asciiTheme="majorHAnsi" w:cstheme="majorBidi" w:eastAsiaTheme="majorEastAsia" w:hAnsiTheme="majorHAnsi"/>
      <w:b/>
      <w:bCs/>
      <w:color w:val="C00000"/>
    </w:rPr>
  </w:style>
  <w:style w:type="character" w:styleId="KopfzeileZchn" w:customStyle="1">
    <w:name w:val="Kopfzeile Zchn"/>
    <w:basedOn w:val="DefaultParagraphFont"/>
    <w:link w:val="Kopfzeile"/>
    <w:uiPriority w:val="99"/>
    <w:qFormat/>
    <w:rsid w:val="008c4e99"/>
    <w:rPr/>
  </w:style>
  <w:style w:type="character" w:styleId="FuzeileZchn" w:customStyle="1">
    <w:name w:val="Fußzeile Zchn"/>
    <w:basedOn w:val="DefaultParagraphFont"/>
    <w:link w:val="Fuzeile"/>
    <w:uiPriority w:val="99"/>
    <w:qFormat/>
    <w:rsid w:val="008c4e99"/>
    <w:rPr/>
  </w:style>
  <w:style w:type="character" w:styleId="FunotentextZchn" w:customStyle="1">
    <w:name w:val="Fußnotentext Zchn"/>
    <w:basedOn w:val="DefaultParagraphFont"/>
    <w:link w:val="Funotentext"/>
    <w:uiPriority w:val="99"/>
    <w:qFormat/>
    <w:rsid w:val="000e29b2"/>
    <w:rPr>
      <w:sz w:val="20"/>
      <w:szCs w:val="20"/>
    </w:rPr>
  </w:style>
  <w:style w:type="character" w:styleId="FootnoteCharacters">
    <w:name w:val="Footnote Characters"/>
    <w:qFormat/>
    <w:rPr/>
  </w:style>
  <w:style w:type="character" w:styleId="FootnoteAnchor">
    <w:name w:val="Footnote Anchor"/>
    <w:rPr>
      <w:vertAlign w:val="superscript"/>
    </w:rPr>
  </w:style>
  <w:style w:type="character" w:styleId="EndnotentextZchn" w:customStyle="1">
    <w:name w:val="Endnotentext Zchn"/>
    <w:basedOn w:val="DefaultParagraphFont"/>
    <w:link w:val="Endnotentext"/>
    <w:uiPriority w:val="99"/>
    <w:semiHidden/>
    <w:qFormat/>
    <w:rsid w:val="00370b89"/>
    <w:rPr>
      <w:sz w:val="20"/>
      <w:szCs w:val="20"/>
    </w:rPr>
  </w:style>
  <w:style w:type="character" w:styleId="EndnoteCharacters">
    <w:name w:val="Endnote Characters"/>
    <w:qFormat/>
    <w:rPr/>
  </w:style>
  <w:style w:type="character" w:styleId="EndnoteAnchor">
    <w:name w:val="Endnote Anchor"/>
    <w:rPr>
      <w:vertAlign w:val="superscript"/>
    </w:rPr>
  </w:style>
  <w:style w:type="character" w:styleId="Annotationreference">
    <w:name w:val="annotation reference"/>
    <w:basedOn w:val="DefaultParagraphFont"/>
    <w:uiPriority w:val="99"/>
    <w:semiHidden/>
    <w:unhideWhenUsed/>
    <w:qFormat/>
    <w:rsid w:val="00571647"/>
    <w:rPr>
      <w:sz w:val="16"/>
      <w:szCs w:val="16"/>
    </w:rPr>
  </w:style>
  <w:style w:type="character" w:styleId="KommentartextZchn" w:customStyle="1">
    <w:name w:val="Kommentartext Zchn"/>
    <w:basedOn w:val="DefaultParagraphFont"/>
    <w:link w:val="Kommentartext"/>
    <w:uiPriority w:val="99"/>
    <w:semiHidden/>
    <w:qFormat/>
    <w:rsid w:val="00571647"/>
    <w:rPr>
      <w:sz w:val="20"/>
      <w:szCs w:val="20"/>
    </w:rPr>
  </w:style>
  <w:style w:type="character" w:styleId="KommentarthemaZchn" w:customStyle="1">
    <w:name w:val="Kommentarthema Zchn"/>
    <w:basedOn w:val="KommentartextZchn"/>
    <w:link w:val="Kommentarthema"/>
    <w:uiPriority w:val="99"/>
    <w:semiHidden/>
    <w:qFormat/>
    <w:rsid w:val="00571647"/>
    <w:rPr>
      <w:b/>
      <w:bCs/>
      <w:sz w:val="20"/>
      <w:szCs w:val="20"/>
    </w:rPr>
  </w:style>
  <w:style w:type="character" w:styleId="Berschrift4Zchn" w:customStyle="1">
    <w:name w:val="Überschrift 4 Zchn"/>
    <w:basedOn w:val="DefaultParagraphFont"/>
    <w:link w:val="berschrift4"/>
    <w:uiPriority w:val="9"/>
    <w:qFormat/>
    <w:rsid w:val="00ef297f"/>
    <w:rPr>
      <w:rFonts w:ascii="Cambria" w:hAnsi="Cambria" w:eastAsia="" w:cs="" w:asciiTheme="majorHAnsi" w:cstheme="majorBidi" w:eastAsiaTheme="majorEastAsia" w:hAnsiTheme="majorHAnsi"/>
      <w:b/>
      <w:bCs/>
      <w:i/>
      <w:iCs/>
      <w:color w:val="800000"/>
    </w:rPr>
  </w:style>
  <w:style w:type="character" w:styleId="VisitedInternetLink">
    <w:name w:val="FollowedHyperlink"/>
    <w:basedOn w:val="DefaultParagraphFont"/>
    <w:uiPriority w:val="99"/>
    <w:semiHidden/>
    <w:unhideWhenUsed/>
    <w:qFormat/>
    <w:rsid w:val="00c2364f"/>
    <w:rPr>
      <w:color w:val="800080" w:themeColor="followedHyperlink"/>
      <w:u w:val="single"/>
    </w:rPr>
  </w:style>
  <w:style w:type="character" w:styleId="PlaceholderText">
    <w:name w:val="Placeholder Text"/>
    <w:basedOn w:val="DefaultParagraphFont"/>
    <w:uiPriority w:val="99"/>
    <w:semiHidden/>
    <w:qFormat/>
    <w:rsid w:val="001e4895"/>
    <w:rPr>
      <w:color w:val="808080"/>
    </w:rPr>
  </w:style>
  <w:style w:type="character" w:styleId="IndexLink">
    <w:name w:val="Index Link"/>
    <w:qFormat/>
    <w:rPr/>
  </w:style>
  <w:style w:type="character" w:styleId="NumberingSymbols">
    <w:name w:val="Numbering Symbols"/>
    <w:qFormat/>
    <w:rPr/>
  </w:style>
  <w:style w:type="character" w:styleId="Bullets">
    <w:name w:val="Bullets"/>
    <w:qFormat/>
    <w:rPr>
      <w:rFonts w:ascii="OpenSymbol" w:hAnsi="OpenSymbol" w:eastAsia="OpenSymbol" w:cs="OpenSymbol"/>
    </w:rPr>
  </w:style>
  <w:style w:type="paragraph" w:styleId="Heading">
    <w:name w:val="Heading"/>
    <w:basedOn w:val="Normal"/>
    <w:next w:val="TextBody"/>
    <w:qFormat/>
    <w:pPr>
      <w:keepNext w:val="true"/>
      <w:spacing w:before="240" w:after="120"/>
    </w:pPr>
    <w:rPr>
      <w:rFonts w:ascii="Liberation Sans" w:hAnsi="Liberation Sans" w:eastAsia="Source Han Sans CN Regular" w:cs="Lohit Devanagari"/>
      <w:sz w:val="28"/>
      <w:szCs w:val="28"/>
    </w:rPr>
  </w:style>
  <w:style w:type="paragraph" w:styleId="TextBody">
    <w:name w:val="Body Text"/>
    <w:basedOn w:val="Normal"/>
    <w:pPr>
      <w:spacing w:lineRule="auto" w:line="288"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NoSpacing">
    <w:name w:val="No Spacing"/>
    <w:link w:val="KeinLeerraumZchn"/>
    <w:uiPriority w:val="1"/>
    <w:qFormat/>
    <w:rsid w:val="00901994"/>
    <w:pPr>
      <w:widowControl/>
      <w:suppressAutoHyphens w:val="true"/>
      <w:bidi w:val="0"/>
      <w:spacing w:lineRule="auto" w:line="240" w:before="0" w:after="0"/>
      <w:jc w:val="left"/>
    </w:pPr>
    <w:rPr>
      <w:rFonts w:ascii="Calibri" w:hAnsi="Calibri" w:eastAsia="" w:cs="" w:eastAsiaTheme="minorEastAsia"/>
      <w:color w:val="00000A"/>
      <w:kern w:val="0"/>
      <w:sz w:val="22"/>
      <w:szCs w:val="22"/>
      <w:lang w:val="en-US" w:eastAsia="ja-JP" w:bidi="ar-SA"/>
    </w:rPr>
  </w:style>
  <w:style w:type="paragraph" w:styleId="BalloonText">
    <w:name w:val="Balloon Text"/>
    <w:basedOn w:val="Normal"/>
    <w:link w:val="SprechblasentextZchn"/>
    <w:uiPriority w:val="99"/>
    <w:semiHidden/>
    <w:unhideWhenUsed/>
    <w:qFormat/>
    <w:rsid w:val="00901994"/>
    <w:pPr>
      <w:spacing w:lineRule="auto" w:line="240" w:before="0" w:after="0"/>
    </w:pPr>
    <w:rPr>
      <w:rFonts w:ascii="Tahoma" w:hAnsi="Tahoma" w:cs="Tahoma"/>
      <w:sz w:val="16"/>
      <w:szCs w:val="16"/>
    </w:rPr>
  </w:style>
  <w:style w:type="paragraph" w:styleId="IndexHeading">
    <w:name w:val="Index Heading"/>
    <w:basedOn w:val="Heading"/>
    <w:pPr/>
    <w:rPr/>
  </w:style>
  <w:style w:type="paragraph" w:styleId="ContentsHeading">
    <w:name w:val="TOC Heading"/>
    <w:basedOn w:val="Heading1"/>
    <w:uiPriority w:val="39"/>
    <w:semiHidden/>
    <w:unhideWhenUsed/>
    <w:qFormat/>
    <w:rsid w:val="00901994"/>
    <w:pPr>
      <w:outlineLvl w:val="9"/>
    </w:pPr>
    <w:rPr>
      <w:lang w:eastAsia="ja-JP"/>
    </w:rPr>
  </w:style>
  <w:style w:type="paragraph" w:styleId="ListParagraph">
    <w:name w:val="List Paragraph"/>
    <w:basedOn w:val="Normal"/>
    <w:uiPriority w:val="34"/>
    <w:qFormat/>
    <w:rsid w:val="009d1124"/>
    <w:pPr>
      <w:spacing w:before="0" w:after="200"/>
      <w:ind w:left="720" w:hanging="0"/>
      <w:contextualSpacing/>
    </w:pPr>
    <w:rPr/>
  </w:style>
  <w:style w:type="paragraph" w:styleId="Contents1">
    <w:name w:val="TOC 1"/>
    <w:basedOn w:val="Normal"/>
    <w:autoRedefine/>
    <w:uiPriority w:val="39"/>
    <w:unhideWhenUsed/>
    <w:rsid w:val="009d1124"/>
    <w:pPr>
      <w:spacing w:before="0" w:after="100"/>
    </w:pPr>
    <w:rPr/>
  </w:style>
  <w:style w:type="paragraph" w:styleId="Subtitle">
    <w:name w:val="Subtitle"/>
    <w:basedOn w:val="Normal"/>
    <w:link w:val="UntertitelZchn"/>
    <w:uiPriority w:val="11"/>
    <w:qFormat/>
    <w:rsid w:val="009d1124"/>
    <w:pPr/>
    <w:rPr>
      <w:rFonts w:ascii="Cambria" w:hAnsi="Cambria" w:eastAsia="" w:cs="" w:asciiTheme="majorHAnsi" w:cstheme="majorBidi" w:eastAsiaTheme="majorEastAsia" w:hAnsiTheme="majorHAnsi"/>
      <w:i/>
      <w:iCs/>
      <w:color w:val="4F81BD" w:themeColor="accent1"/>
      <w:spacing w:val="15"/>
      <w:sz w:val="24"/>
      <w:szCs w:val="24"/>
    </w:rPr>
  </w:style>
  <w:style w:type="paragraph" w:styleId="Contents2">
    <w:name w:val="TOC 2"/>
    <w:basedOn w:val="Normal"/>
    <w:autoRedefine/>
    <w:uiPriority w:val="39"/>
    <w:unhideWhenUsed/>
    <w:rsid w:val="009d1124"/>
    <w:pPr>
      <w:spacing w:before="0" w:after="100"/>
      <w:ind w:left="220" w:hanging="0"/>
    </w:pPr>
    <w:rPr/>
  </w:style>
  <w:style w:type="paragraph" w:styleId="Caption1">
    <w:name w:val="caption"/>
    <w:basedOn w:val="Normal"/>
    <w:uiPriority w:val="35"/>
    <w:unhideWhenUsed/>
    <w:qFormat/>
    <w:rsid w:val="008618e9"/>
    <w:pPr>
      <w:spacing w:lineRule="auto" w:line="240"/>
    </w:pPr>
    <w:rPr>
      <w:b/>
      <w:bCs/>
      <w:color w:val="000000" w:themeColor="text1"/>
      <w:sz w:val="18"/>
      <w:szCs w:val="18"/>
    </w:rPr>
  </w:style>
  <w:style w:type="paragraph" w:styleId="Contents3">
    <w:name w:val="TOC 3"/>
    <w:basedOn w:val="Normal"/>
    <w:autoRedefine/>
    <w:uiPriority w:val="39"/>
    <w:unhideWhenUsed/>
    <w:rsid w:val="00247a15"/>
    <w:pPr>
      <w:spacing w:before="0" w:after="100"/>
      <w:ind w:left="440" w:hanging="0"/>
    </w:pPr>
    <w:rPr/>
  </w:style>
  <w:style w:type="paragraph" w:styleId="HeaderandFooter">
    <w:name w:val="Header and Footer"/>
    <w:basedOn w:val="Normal"/>
    <w:qFormat/>
    <w:pPr/>
    <w:rPr/>
  </w:style>
  <w:style w:type="paragraph" w:styleId="Header">
    <w:name w:val="Header"/>
    <w:basedOn w:val="Normal"/>
    <w:link w:val="KopfzeileZchn"/>
    <w:uiPriority w:val="99"/>
    <w:unhideWhenUsed/>
    <w:rsid w:val="008c4e99"/>
    <w:pPr>
      <w:tabs>
        <w:tab w:val="clear" w:pos="720"/>
        <w:tab w:val="center" w:pos="4680" w:leader="none"/>
        <w:tab w:val="right" w:pos="9360" w:leader="none"/>
      </w:tabs>
      <w:spacing w:lineRule="auto" w:line="240" w:before="0" w:after="0"/>
    </w:pPr>
    <w:rPr/>
  </w:style>
  <w:style w:type="paragraph" w:styleId="Footer">
    <w:name w:val="Footer"/>
    <w:basedOn w:val="Normal"/>
    <w:link w:val="FuzeileZchn"/>
    <w:uiPriority w:val="99"/>
    <w:unhideWhenUsed/>
    <w:rsid w:val="008c4e99"/>
    <w:pPr>
      <w:tabs>
        <w:tab w:val="clear" w:pos="720"/>
        <w:tab w:val="center" w:pos="4680" w:leader="none"/>
        <w:tab w:val="right" w:pos="9360" w:leader="none"/>
      </w:tabs>
      <w:spacing w:lineRule="auto" w:line="240" w:before="0" w:after="0"/>
    </w:pPr>
    <w:rPr/>
  </w:style>
  <w:style w:type="paragraph" w:styleId="Footnote">
    <w:name w:val="Footnote Text"/>
    <w:basedOn w:val="Normal"/>
    <w:link w:val="FunotentextZchn"/>
    <w:uiPriority w:val="99"/>
    <w:unhideWhenUsed/>
    <w:qFormat/>
    <w:rsid w:val="000e29b2"/>
    <w:pPr/>
    <w:rPr/>
  </w:style>
  <w:style w:type="paragraph" w:styleId="Endnote">
    <w:name w:val="Endnote Text"/>
    <w:basedOn w:val="Normal"/>
    <w:link w:val="EndnotentextZchn"/>
    <w:uiPriority w:val="99"/>
    <w:semiHidden/>
    <w:unhideWhenUsed/>
    <w:qFormat/>
    <w:rsid w:val="00370b89"/>
    <w:pPr>
      <w:spacing w:lineRule="auto" w:line="240" w:before="0" w:after="0"/>
    </w:pPr>
    <w:rPr>
      <w:sz w:val="20"/>
      <w:szCs w:val="20"/>
    </w:rPr>
  </w:style>
  <w:style w:type="paragraph" w:styleId="Revision">
    <w:name w:val="Revision"/>
    <w:uiPriority w:val="99"/>
    <w:semiHidden/>
    <w:qFormat/>
    <w:rsid w:val="00571647"/>
    <w:pPr>
      <w:widowControl/>
      <w:suppressAutoHyphens w:val="true"/>
      <w:bidi w:val="0"/>
      <w:spacing w:lineRule="auto" w:line="240" w:before="0" w:after="0"/>
      <w:jc w:val="left"/>
    </w:pPr>
    <w:rPr>
      <w:rFonts w:ascii="Calibri" w:hAnsi="Calibri" w:eastAsia="Calibri" w:cs="" w:asciiTheme="minorHAnsi" w:cstheme="minorBidi" w:eastAsiaTheme="minorHAnsi" w:hAnsiTheme="minorHAnsi"/>
      <w:color w:val="00000A"/>
      <w:kern w:val="0"/>
      <w:sz w:val="22"/>
      <w:szCs w:val="22"/>
      <w:lang w:val="en-US" w:eastAsia="en-US" w:bidi="ar-SA"/>
    </w:rPr>
  </w:style>
  <w:style w:type="paragraph" w:styleId="Annotationtext">
    <w:name w:val="annotation text"/>
    <w:basedOn w:val="Normal"/>
    <w:link w:val="KommentartextZchn"/>
    <w:uiPriority w:val="99"/>
    <w:semiHidden/>
    <w:unhideWhenUsed/>
    <w:qFormat/>
    <w:rsid w:val="00571647"/>
    <w:pPr>
      <w:spacing w:lineRule="auto" w:line="240"/>
    </w:pPr>
    <w:rPr>
      <w:sz w:val="20"/>
      <w:szCs w:val="20"/>
    </w:rPr>
  </w:style>
  <w:style w:type="paragraph" w:styleId="Annotationsubject">
    <w:name w:val="annotation subject"/>
    <w:basedOn w:val="Annotationtext"/>
    <w:link w:val="KommentarthemaZchn"/>
    <w:uiPriority w:val="99"/>
    <w:semiHidden/>
    <w:unhideWhenUsed/>
    <w:qFormat/>
    <w:rsid w:val="00571647"/>
    <w:pPr/>
    <w:rPr>
      <w:b/>
      <w:bCs/>
    </w:rPr>
  </w:style>
  <w:style w:type="paragraph" w:styleId="FrameContents">
    <w:name w:val="Frame Contents"/>
    <w:basedOn w:val="Normal"/>
    <w:qFormat/>
    <w:pPr/>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igure">
    <w:name w:val="Figure"/>
    <w:basedOn w:val="Caption"/>
    <w:qFormat/>
    <w:pPr/>
    <w:rPr/>
  </w:style>
  <w:style w:type="paragraph" w:styleId="DocumentMap">
    <w:name w:val="Document Map"/>
    <w:qFormat/>
    <w:pPr>
      <w:widowControl/>
      <w:suppressAutoHyphens w:val="true"/>
      <w:bidi w:val="0"/>
      <w:spacing w:before="0" w:after="0"/>
      <w:jc w:val="left"/>
      <w:textAlignment w:val="auto"/>
    </w:pPr>
    <w:rPr>
      <w:rFonts w:ascii="Calibri" w:hAnsi="Calibri" w:eastAsia="Times New Roman" w:cs="Calibri" w:asciiTheme="minorHAnsi" w:hAnsiTheme="minorHAnsi"/>
      <w:color w:val="auto"/>
      <w:kern w:val="0"/>
      <w:sz w:val="20"/>
      <w:szCs w:val="22"/>
      <w:lang w:val="en-US" w:eastAsia="en-US" w:bidi="ar-SA"/>
    </w:rPr>
  </w:style>
  <w:style w:type="paragraph" w:styleId="TableContents">
    <w:name w:val="Table Contents"/>
    <w:basedOn w:val="Normal"/>
    <w:qFormat/>
    <w:pPr>
      <w:suppressLineNumbers/>
    </w:pPr>
    <w:rPr/>
  </w:style>
  <w:style w:type="paragraph" w:styleId="TableHeading">
    <w:name w:val="Table Heading"/>
    <w:basedOn w:val="TableContents"/>
    <w:qFormat/>
    <w:pPr>
      <w:suppressLineNumbers/>
      <w:jc w:val="center"/>
    </w:pPr>
    <w:rPr>
      <w:b/>
      <w:bCs/>
    </w:rPr>
  </w:style>
  <w:style w:type="paragraph" w:styleId="TableGrid">
    <w:name w:val="Table Grid"/>
    <w:basedOn w:val="DocumentMap"/>
    <w:qFormat/>
    <w:pPr>
      <w:spacing w:lineRule="auto" w:line="240" w:before="0" w:after="0"/>
    </w:pPr>
    <w:rPr>
      <w:sz w:val="20"/>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 w:type="table" w:styleId="Tabellenraster">
    <w:name w:val="Table Grid"/>
    <w:basedOn w:val="NormaleTabelle"/>
    <w:uiPriority w:val="59"/>
    <w:rsid w:val="00d86ba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www.gnu.org/licenses/" TargetMode="External"/><Relationship Id="rId3" Type="http://schemas.openxmlformats.org/officeDocument/2006/relationships/image" Target="media/image1.png"/><Relationship Id="rId4" Type="http://schemas.openxmlformats.org/officeDocument/2006/relationships/image" Target="media/image2.wmf"/><Relationship Id="rId5" Type="http://schemas.openxmlformats.org/officeDocument/2006/relationships/image" Target="media/image3.wmf"/><Relationship Id="rId6" Type="http://schemas.openxmlformats.org/officeDocument/2006/relationships/hyperlink" Target="mailto:3d-ice@listes.epfl.ch" TargetMode="External"/><Relationship Id="rId7" Type="http://schemas.openxmlformats.org/officeDocument/2006/relationships/hyperlink" Target="http://esl.epfl.ch/3d-ice.html" TargetMode="External"/><Relationship Id="rId8" Type="http://schemas.openxmlformats.org/officeDocument/2006/relationships/image" Target="media/image4.png"/><Relationship Id="rId9" Type="http://schemas.openxmlformats.org/officeDocument/2006/relationships/hyperlink" Target="https://www.openmodelica.org/" TargetMode="Externa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hyperlink" Target="https://mbe.modelica.university/front/intro" TargetMode="External"/><Relationship Id="rId33" Type="http://schemas.openxmlformats.org/officeDocument/2006/relationships/image" Target="media/image26.pn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hyperlink" Target="https://build.openmodelica.org/Documentation/Modelica.Blocks.Sources.CombiTimeTable.html" TargetMode="External"/><Relationship Id="rId37" Type="http://schemas.openxmlformats.org/officeDocument/2006/relationships/hyperlink" Target="https://build.openmodelica.org/Documentation/Modelica.Blocks.Sources.CombiTimeTable.html" TargetMode="External"/><Relationship Id="rId38" Type="http://schemas.openxmlformats.org/officeDocument/2006/relationships/image" Target="media/image28.png"/><Relationship Id="rId39" Type="http://schemas.openxmlformats.org/officeDocument/2006/relationships/hyperlink" Target="http://accellera.org/downloads/standards/systemc" TargetMode="External"/><Relationship Id="rId40" Type="http://schemas.openxmlformats.org/officeDocument/2006/relationships/footer" Target="footer1.xml"/><Relationship Id="rId41" Type="http://schemas.openxmlformats.org/officeDocument/2006/relationships/footnotes" Target="footnotes.xml"/><Relationship Id="rId42" Type="http://schemas.openxmlformats.org/officeDocument/2006/relationships/numbering" Target="numbering.xml"/><Relationship Id="rId43" Type="http://schemas.openxmlformats.org/officeDocument/2006/relationships/fontTable" Target="fontTable.xml"/><Relationship Id="rId44" Type="http://schemas.openxmlformats.org/officeDocument/2006/relationships/settings" Target="settings.xml"/><Relationship Id="rId45" Type="http://schemas.openxmlformats.org/officeDocument/2006/relationships/theme" Target="theme/theme1.xml"/><Relationship Id="rId46" Type="http://schemas.openxmlformats.org/officeDocument/2006/relationships/customXml" Target="../customXml/item1.xml"/><Relationship Id="rId47" Type="http://schemas.openxmlformats.org/officeDocument/2006/relationships/customXml" Target="../customXml/item2.xml"/>
</Relationships>
</file>

<file path=word/_rels/footnotes.xml.rels><?xml version="1.0" encoding="UTF-8"?>
<Relationships xmlns="http://schemas.openxmlformats.org/package/2006/relationships"><Relationship Id="rId1" Type="http://schemas.openxmlformats.org/officeDocument/2006/relationships/image" Target="media/image29.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item1.xml><?xml version="1.0" encoding="utf-8"?>
<CoverPageProperties xmlns="http://schemas.microsoft.com/office/2006/coverPageProps">
  <PublishDate>3D-ICE 1.0</PublishDate>
  <Abstract>This document provides a brief summary of the usage of 3D-ICE 2.2.6. This includes illustrative examples of generating the input stack and floorplan files, and the various functions used for printing the results.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2B86E97-D8CF-5746-A013-23265AFCB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739</TotalTime>
  <Application>LibreOffice/7.2.4.1$Windows_X86_64 LibreOffice_project/27d75539669ac387bb498e35313b970b7fe9c4f9</Application>
  <AppVersion>15.0000</AppVersion>
  <Pages>53</Pages>
  <Words>15039</Words>
  <Characters>79986</Characters>
  <CharactersWithSpaces>94402</CharactersWithSpaces>
  <Paragraphs>994</Paragraphs>
  <Company>EPFL</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2012-03-23T17:46:00Z</dcterms:created>
  <dc:creator>Arvind Sridhar;Alessandro Vincenzi;Martino Ruggiero;Thomas Brunschwiler;David Atienza</dc:creator>
  <dc:description/>
  <dc:language>en-US</dc:language>
  <cp:lastModifiedBy/>
  <cp:lastPrinted>2013-03-25T17:36:00Z</cp:lastPrinted>
  <dcterms:modified xsi:type="dcterms:W3CDTF">2021-12-07T18:10:37Z</dcterms:modified>
  <cp:revision>291</cp:revision>
  <dc:subject>User Guide</dc:subject>
  <dc:title>Quick Reference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